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3544"/>
        <w:gridCol w:w="4253"/>
      </w:tblGrid>
      <w:tr w:rsidR="006A00BA" w:rsidRPr="00D4014B" w:rsidTr="000E6FDF">
        <w:trPr>
          <w:trHeight w:val="1829"/>
        </w:trPr>
        <w:tc>
          <w:tcPr>
            <w:tcW w:w="3544" w:type="dxa"/>
          </w:tcPr>
          <w:p w:rsidR="006A00BA" w:rsidRPr="00D4014B" w:rsidRDefault="006A00BA" w:rsidP="000253BC">
            <w:pPr>
              <w:tabs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065"/>
                <w:tab w:val="left" w:pos="10620"/>
                <w:tab w:val="left" w:pos="11328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14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36C9F48" wp14:editId="592773E2">
                  <wp:extent cx="1562100" cy="1219200"/>
                  <wp:effectExtent l="0" t="0" r="0" b="0"/>
                  <wp:docPr id="1" name="Рисунок 1" descr="лого И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И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A00BA" w:rsidRPr="00D4014B" w:rsidRDefault="006A00BA" w:rsidP="000253BC">
            <w:pPr>
              <w:tabs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065"/>
                <w:tab w:val="left" w:pos="10620"/>
                <w:tab w:val="left" w:pos="11328"/>
              </w:tabs>
              <w:spacing w:after="0"/>
              <w:ind w:right="-1" w:firstLine="567"/>
              <w:jc w:val="center"/>
              <w:rPr>
                <w:rFonts w:ascii="Times New Roman" w:hAnsi="Times New Roman"/>
              </w:rPr>
            </w:pPr>
            <w:r w:rsidRPr="00D4014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9958010" wp14:editId="575ED348">
                  <wp:extent cx="1758315" cy="13119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0BA" w:rsidRPr="004E4533" w:rsidTr="000E6FDF">
        <w:trPr>
          <w:trHeight w:val="466"/>
        </w:trPr>
        <w:tc>
          <w:tcPr>
            <w:tcW w:w="7797" w:type="dxa"/>
            <w:gridSpan w:val="2"/>
          </w:tcPr>
          <w:p w:rsidR="006A00BA" w:rsidRPr="00D4014B" w:rsidRDefault="006A00BA" w:rsidP="000253BC">
            <w:pPr>
              <w:tabs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065"/>
                <w:tab w:val="left" w:pos="10620"/>
                <w:tab w:val="left" w:pos="11328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D4014B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АНО </w:t>
            </w:r>
            <w:proofErr w:type="gramStart"/>
            <w:r w:rsidRPr="00D4014B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ДО</w:t>
            </w:r>
            <w:proofErr w:type="gramEnd"/>
            <w:r w:rsidRPr="00D4014B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«</w:t>
            </w:r>
            <w:proofErr w:type="gramStart"/>
            <w:r w:rsidRPr="00D4014B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Институт</w:t>
            </w:r>
            <w:proofErr w:type="gramEnd"/>
            <w:r w:rsidRPr="00D4014B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инновационного развития»</w:t>
            </w:r>
          </w:p>
          <w:p w:rsidR="006A00BA" w:rsidRPr="00D4014B" w:rsidRDefault="006A00BA" w:rsidP="000253BC">
            <w:pPr>
              <w:tabs>
                <w:tab w:val="left" w:pos="709"/>
                <w:tab w:val="left" w:pos="1134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014B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г. Москва, Нижний Кисельный пер., д. 5/23, стр. 1, т</w:t>
            </w:r>
            <w:r w:rsidRPr="00D4014B">
              <w:rPr>
                <w:rFonts w:ascii="Times New Roman" w:hAnsi="Times New Roman"/>
                <w:b/>
                <w:sz w:val="20"/>
                <w:szCs w:val="20"/>
              </w:rPr>
              <w:t xml:space="preserve">ел/факс: (499) 372-01-52, </w:t>
            </w:r>
          </w:p>
          <w:p w:rsidR="006A00BA" w:rsidRPr="00D4014B" w:rsidRDefault="006A00BA" w:rsidP="000253BC">
            <w:pPr>
              <w:tabs>
                <w:tab w:val="left" w:pos="709"/>
                <w:tab w:val="left" w:pos="1134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i/>
                <w:color w:val="auto"/>
                <w:lang w:val="de-DE"/>
              </w:rPr>
            </w:pPr>
            <w:proofErr w:type="spellStart"/>
            <w:r w:rsidRPr="00D4014B">
              <w:rPr>
                <w:rFonts w:ascii="Times New Roman" w:hAnsi="Times New Roman"/>
                <w:b/>
                <w:color w:val="002060"/>
                <w:sz w:val="20"/>
                <w:szCs w:val="20"/>
                <w:lang w:val="de-DE"/>
              </w:rPr>
              <w:t>e-mail</w:t>
            </w:r>
            <w:proofErr w:type="spellEnd"/>
            <w:r w:rsidRPr="00D4014B">
              <w:rPr>
                <w:rFonts w:ascii="Times New Roman" w:hAnsi="Times New Roman"/>
                <w:b/>
                <w:color w:val="002060"/>
                <w:sz w:val="20"/>
                <w:szCs w:val="20"/>
                <w:lang w:val="de-DE"/>
              </w:rPr>
              <w:t xml:space="preserve">: </w:t>
            </w:r>
            <w:r w:rsidR="004E4533">
              <w:fldChar w:fldCharType="begin"/>
            </w:r>
            <w:r w:rsidR="004E4533" w:rsidRPr="004E4533">
              <w:rPr>
                <w:lang w:val="en-US"/>
              </w:rPr>
              <w:instrText xml:space="preserve"> HYPERLINK "mailto:klient@iira.ru" </w:instrText>
            </w:r>
            <w:r w:rsidR="004E4533">
              <w:fldChar w:fldCharType="separate"/>
            </w:r>
            <w:r w:rsidRPr="00D4014B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  <w:lang w:val="de-DE"/>
              </w:rPr>
              <w:t>klient@iira.ru</w:t>
            </w:r>
            <w:r w:rsidR="004E4533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  <w:lang w:val="de-DE"/>
              </w:rPr>
              <w:fldChar w:fldCharType="end"/>
            </w:r>
            <w:r w:rsidRPr="00D4014B">
              <w:rPr>
                <w:rFonts w:ascii="Times New Roman" w:hAnsi="Times New Roman"/>
                <w:b/>
                <w:color w:val="002060"/>
                <w:sz w:val="20"/>
                <w:szCs w:val="20"/>
                <w:lang w:val="de-DE"/>
              </w:rPr>
              <w:t xml:space="preserve">,  </w:t>
            </w:r>
            <w:r w:rsidRPr="00D4014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сайт</w:t>
            </w:r>
            <w:r w:rsidRPr="00D4014B">
              <w:rPr>
                <w:rFonts w:ascii="Times New Roman" w:hAnsi="Times New Roman"/>
                <w:b/>
                <w:color w:val="002060"/>
                <w:sz w:val="20"/>
                <w:szCs w:val="20"/>
                <w:lang w:val="de-DE"/>
              </w:rPr>
              <w:t xml:space="preserve"> </w:t>
            </w:r>
            <w:r w:rsidR="004E4533">
              <w:fldChar w:fldCharType="begin"/>
            </w:r>
            <w:r w:rsidR="004E4533" w:rsidRPr="004E4533">
              <w:rPr>
                <w:lang w:val="en-US"/>
              </w:rPr>
              <w:instrText xml:space="preserve"> HYPERLINK "http://www.iira.ru" </w:instrText>
            </w:r>
            <w:r w:rsidR="004E4533">
              <w:fldChar w:fldCharType="separate"/>
            </w:r>
            <w:r w:rsidRPr="00D4014B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  <w:lang w:val="de-DE"/>
              </w:rPr>
              <w:t>www.iira.ru</w:t>
            </w:r>
            <w:r w:rsidR="004E4533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  <w:lang w:val="de-DE"/>
              </w:rPr>
              <w:fldChar w:fldCharType="end"/>
            </w:r>
          </w:p>
        </w:tc>
      </w:tr>
    </w:tbl>
    <w:p w:rsidR="006A00BA" w:rsidRPr="00D4014B" w:rsidRDefault="006A00BA" w:rsidP="000253BC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/>
        <w:ind w:right="-1" w:firstLine="567"/>
        <w:rPr>
          <w:rFonts w:ascii="Times New Roman" w:hAnsi="Times New Roman"/>
          <w:lang w:val="de-DE"/>
        </w:rPr>
      </w:pPr>
      <w:r w:rsidRPr="00D4014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C5974" wp14:editId="7F60B158">
                <wp:simplePos x="0" y="0"/>
                <wp:positionH relativeFrom="column">
                  <wp:posOffset>-16510</wp:posOffset>
                </wp:positionH>
                <wp:positionV relativeFrom="paragraph">
                  <wp:posOffset>98425</wp:posOffset>
                </wp:positionV>
                <wp:extent cx="6686550" cy="0"/>
                <wp:effectExtent l="9525" t="12065" r="9525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1FC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3pt;margin-top:7.75pt;width:52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" strokecolor="#002060" strokeweight="1.5pt"/>
            </w:pict>
          </mc:Fallback>
        </mc:AlternateContent>
      </w:r>
      <w:r w:rsidRPr="00D4014B">
        <w:rPr>
          <w:rFonts w:ascii="Times New Roman" w:hAnsi="Times New Roman"/>
          <w:lang w:val="de-DE"/>
        </w:rPr>
        <w:t xml:space="preserve"> </w:t>
      </w:r>
    </w:p>
    <w:p w:rsidR="006A00BA" w:rsidRPr="00D4014B" w:rsidRDefault="006A00BA" w:rsidP="000253BC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color w:val="C00000"/>
          <w:sz w:val="16"/>
          <w:szCs w:val="16"/>
          <w:lang w:val="de-DE"/>
        </w:rPr>
      </w:pPr>
    </w:p>
    <w:p w:rsidR="00C35C5C" w:rsidRPr="004E4533" w:rsidRDefault="006A00BA" w:rsidP="000253BC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C45911" w:themeColor="accent2" w:themeShade="BF"/>
          <w:sz w:val="32"/>
          <w:szCs w:val="32"/>
        </w:rPr>
      </w:pPr>
      <w:r w:rsidRPr="006A185C">
        <w:rPr>
          <w:rFonts w:ascii="Times New Roman" w:hAnsi="Times New Roman"/>
          <w:b/>
          <w:bCs/>
          <w:iCs/>
          <w:color w:val="C45911" w:themeColor="accent2" w:themeShade="BF"/>
          <w:sz w:val="32"/>
          <w:szCs w:val="32"/>
          <w:lang w:val="en-US"/>
        </w:rPr>
        <w:t>XVII</w:t>
      </w:r>
      <w:r w:rsidRPr="006A185C">
        <w:rPr>
          <w:rFonts w:ascii="Times New Roman" w:hAnsi="Times New Roman"/>
          <w:b/>
          <w:bCs/>
          <w:iCs/>
          <w:color w:val="C45911" w:themeColor="accent2" w:themeShade="BF"/>
          <w:sz w:val="32"/>
          <w:szCs w:val="32"/>
        </w:rPr>
        <w:t xml:space="preserve"> Всероссийский Форум</w:t>
      </w:r>
    </w:p>
    <w:p w:rsidR="006A00BA" w:rsidRPr="00D4014B" w:rsidRDefault="006A00BA" w:rsidP="000253BC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6A185C">
        <w:rPr>
          <w:rFonts w:ascii="Times New Roman" w:hAnsi="Times New Roman"/>
          <w:b/>
          <w:bCs/>
          <w:color w:val="C45911" w:themeColor="accent2" w:themeShade="BF"/>
          <w:sz w:val="32"/>
          <w:szCs w:val="32"/>
        </w:rPr>
        <w:t>«Банк: бухгалтерия, налоги и отчётность»</w:t>
      </w:r>
      <w:r w:rsidRPr="006A185C">
        <w:rPr>
          <w:rFonts w:ascii="Times New Roman" w:hAnsi="Times New Roman"/>
          <w:i/>
          <w:iCs/>
          <w:color w:val="C45911" w:themeColor="accent2" w:themeShade="BF"/>
          <w:sz w:val="32"/>
          <w:szCs w:val="32"/>
        </w:rPr>
        <w:t> </w:t>
      </w:r>
      <w:r w:rsidRPr="006A185C">
        <w:rPr>
          <w:rFonts w:ascii="Times New Roman" w:hAnsi="Times New Roman"/>
          <w:b/>
          <w:bCs/>
          <w:color w:val="C45911" w:themeColor="accent2" w:themeShade="BF"/>
          <w:sz w:val="32"/>
          <w:szCs w:val="32"/>
        </w:rPr>
        <w:t xml:space="preserve"> </w:t>
      </w:r>
    </w:p>
    <w:p w:rsidR="006A00BA" w:rsidRPr="00D4014B" w:rsidRDefault="006A00BA" w:rsidP="000253BC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iCs/>
          <w:color w:val="auto"/>
          <w:sz w:val="16"/>
          <w:szCs w:val="16"/>
        </w:rPr>
      </w:pPr>
    </w:p>
    <w:p w:rsidR="006A00BA" w:rsidRPr="00D4014B" w:rsidRDefault="006A00BA" w:rsidP="000253BC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D4014B">
        <w:rPr>
          <w:rFonts w:ascii="Times New Roman" w:hAnsi="Times New Roman"/>
          <w:b/>
          <w:iCs/>
          <w:color w:val="auto"/>
          <w:sz w:val="28"/>
          <w:szCs w:val="28"/>
        </w:rPr>
        <w:t>14-17 ноября 2018 года</w:t>
      </w:r>
    </w:p>
    <w:p w:rsidR="006A00BA" w:rsidRPr="00D4014B" w:rsidRDefault="006A00BA" w:rsidP="000253BC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6A00BA" w:rsidRPr="00D4014B" w:rsidRDefault="006A00BA" w:rsidP="000253BC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color w:val="002060"/>
          <w:sz w:val="26"/>
          <w:szCs w:val="26"/>
        </w:rPr>
      </w:pPr>
      <w:r w:rsidRPr="00D4014B">
        <w:rPr>
          <w:rFonts w:ascii="Times New Roman" w:hAnsi="Times New Roman"/>
          <w:b/>
          <w:bCs/>
          <w:i/>
          <w:color w:val="002060"/>
          <w:sz w:val="26"/>
          <w:szCs w:val="26"/>
        </w:rPr>
        <w:t>Место проведения: г. Москва, ГК «Измайлово»</w:t>
      </w:r>
    </w:p>
    <w:p w:rsidR="006A00BA" w:rsidRPr="00D4014B" w:rsidRDefault="006A00BA" w:rsidP="000253BC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 w:line="240" w:lineRule="auto"/>
        <w:ind w:firstLine="567"/>
        <w:rPr>
          <w:rFonts w:ascii="Times New Roman" w:hAnsi="Times New Roman"/>
          <w:b/>
          <w:color w:val="auto"/>
          <w:sz w:val="24"/>
          <w:u w:val="single"/>
        </w:rPr>
      </w:pPr>
    </w:p>
    <w:p w:rsidR="006A00BA" w:rsidRPr="00D4014B" w:rsidRDefault="006A00BA" w:rsidP="000253BC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b/>
          <w:i/>
        </w:rPr>
      </w:pPr>
      <w:r w:rsidRPr="00D4014B">
        <w:rPr>
          <w:rFonts w:ascii="Times New Roman" w:hAnsi="Times New Roman"/>
          <w:b/>
          <w:i/>
        </w:rPr>
        <w:t>Уважаемые коллеги!</w:t>
      </w:r>
    </w:p>
    <w:p w:rsidR="006A00BA" w:rsidRPr="00D4014B" w:rsidRDefault="006A00BA" w:rsidP="000253BC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6A00BA" w:rsidRPr="00D4014B" w:rsidRDefault="006A00BA" w:rsidP="000253BC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b/>
          <w:i/>
        </w:rPr>
      </w:pPr>
      <w:r w:rsidRPr="00D4014B">
        <w:rPr>
          <w:rFonts w:ascii="Times New Roman" w:hAnsi="Times New Roman"/>
          <w:b/>
          <w:i/>
        </w:rPr>
        <w:t>С 1 января 2019 года следующих нормативных актов: Положение Банка России от 2 октября 2017 года № 604-П, Положение Банка России от 2 октября 2017 года № 605-П, Положение Банка России от 2 октября 2017 года № 606-П, Положение Банка России от 21 ноября 2017 года № 617-П, Указание Банка России от 16 ноября 2017 года № 4611-У, Указание Банка России от 2 октября 207 № 4556-У, Указание Банка России от 2 октября 2017 № 4555-У. Но самое главное новшество – это то, что Банк России теперь сможет издавать нормативные акты в сфере бухучёта подведомственных организаций, которые могут и будут противоречить закону о бухучёте. Приглашаем вас принять участие в нашем мероприятии, где будут рассмотрены актуальные, сложные вопросы и практические аспекты применения!</w:t>
      </w:r>
    </w:p>
    <w:p w:rsidR="00333FCD" w:rsidRPr="006A185C" w:rsidRDefault="006A00BA" w:rsidP="000253BC">
      <w:pPr>
        <w:tabs>
          <w:tab w:val="left" w:pos="709"/>
          <w:tab w:val="left" w:pos="1134"/>
        </w:tabs>
        <w:ind w:firstLine="567"/>
        <w:rPr>
          <w:rFonts w:ascii="Times New Roman" w:hAnsi="Times New Roman"/>
          <w:b/>
          <w:bCs/>
          <w:iCs/>
          <w:color w:val="C45911" w:themeColor="accent2" w:themeShade="BF"/>
          <w:sz w:val="32"/>
          <w:szCs w:val="32"/>
        </w:rPr>
      </w:pPr>
      <w:r w:rsidRPr="006A185C">
        <w:rPr>
          <w:rFonts w:ascii="Times New Roman" w:hAnsi="Times New Roman"/>
          <w:b/>
          <w:bCs/>
          <w:iCs/>
          <w:color w:val="C45911" w:themeColor="accent2" w:themeShade="BF"/>
          <w:sz w:val="32"/>
          <w:szCs w:val="32"/>
        </w:rPr>
        <w:t>Приглашенные спикеры:</w:t>
      </w:r>
    </w:p>
    <w:p w:rsidR="006A00BA" w:rsidRPr="00D4014B" w:rsidRDefault="006A00BA" w:rsidP="000253BC">
      <w:pPr>
        <w:pStyle w:val="11"/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014B">
        <w:rPr>
          <w:rFonts w:ascii="Times New Roman" w:hAnsi="Times New Roman"/>
          <w:b/>
          <w:sz w:val="24"/>
          <w:szCs w:val="24"/>
        </w:rPr>
        <w:t>Двойнишников</w:t>
      </w:r>
      <w:proofErr w:type="spellEnd"/>
      <w:r w:rsidRPr="00D4014B">
        <w:rPr>
          <w:rFonts w:ascii="Times New Roman" w:hAnsi="Times New Roman"/>
          <w:b/>
          <w:sz w:val="24"/>
          <w:szCs w:val="24"/>
        </w:rPr>
        <w:t xml:space="preserve"> В.В.,</w:t>
      </w:r>
      <w:r w:rsidRPr="00D4014B">
        <w:rPr>
          <w:rFonts w:ascii="Times New Roman" w:hAnsi="Times New Roman"/>
          <w:sz w:val="24"/>
          <w:szCs w:val="24"/>
        </w:rPr>
        <w:t xml:space="preserve"> руководитель Управления Департамента бухгалтерского учёта и отчётности Банка России.</w:t>
      </w:r>
    </w:p>
    <w:p w:rsidR="006A00BA" w:rsidRPr="00D4014B" w:rsidRDefault="006A00BA" w:rsidP="000253BC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4014B">
        <w:rPr>
          <w:rFonts w:ascii="Times New Roman" w:hAnsi="Times New Roman"/>
          <w:b/>
          <w:sz w:val="24"/>
        </w:rPr>
        <w:t>Ведущие специалисты</w:t>
      </w:r>
      <w:r w:rsidRPr="00D4014B">
        <w:rPr>
          <w:rFonts w:ascii="Times New Roman" w:hAnsi="Times New Roman"/>
          <w:sz w:val="24"/>
        </w:rPr>
        <w:t xml:space="preserve"> Департамента бухгалтерского учёта и отчётности Банка России.</w:t>
      </w:r>
    </w:p>
    <w:p w:rsidR="006A00BA" w:rsidRPr="00D4014B" w:rsidRDefault="00D86727" w:rsidP="000253BC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</w:rPr>
      </w:pPr>
      <w:r w:rsidRPr="00D4014B">
        <w:rPr>
          <w:rFonts w:ascii="Times New Roman" w:hAnsi="Times New Roman"/>
          <w:b/>
          <w:sz w:val="24"/>
        </w:rPr>
        <w:t xml:space="preserve">Артемьева </w:t>
      </w:r>
      <w:r w:rsidR="006A00BA" w:rsidRPr="00D4014B">
        <w:rPr>
          <w:rFonts w:ascii="Times New Roman" w:hAnsi="Times New Roman"/>
          <w:b/>
          <w:sz w:val="24"/>
        </w:rPr>
        <w:t>Н.В.,</w:t>
      </w:r>
      <w:r w:rsidR="006A00BA" w:rsidRPr="00D4014B">
        <w:rPr>
          <w:rFonts w:ascii="Times New Roman" w:hAnsi="Times New Roman"/>
          <w:sz w:val="24"/>
        </w:rPr>
        <w:t xml:space="preserve"> руководитель Департамента аудита ООО </w:t>
      </w:r>
      <w:r w:rsidRPr="00D4014B">
        <w:rPr>
          <w:rFonts w:ascii="Times New Roman" w:hAnsi="Times New Roman"/>
          <w:sz w:val="24"/>
        </w:rPr>
        <w:t>"</w:t>
      </w:r>
      <w:r w:rsidR="006A00BA" w:rsidRPr="00D4014B">
        <w:rPr>
          <w:rFonts w:ascii="Times New Roman" w:hAnsi="Times New Roman"/>
          <w:sz w:val="24"/>
        </w:rPr>
        <w:t>Листик и Партнёр</w:t>
      </w:r>
      <w:proofErr w:type="gramStart"/>
      <w:r w:rsidR="006A00BA" w:rsidRPr="00D4014B">
        <w:rPr>
          <w:rFonts w:ascii="Times New Roman" w:hAnsi="Times New Roman"/>
          <w:sz w:val="24"/>
        </w:rPr>
        <w:t>ы–</w:t>
      </w:r>
      <w:proofErr w:type="gramEnd"/>
      <w:r w:rsidR="006A00BA" w:rsidRPr="00D4014B">
        <w:rPr>
          <w:rFonts w:ascii="Times New Roman" w:hAnsi="Times New Roman"/>
          <w:sz w:val="24"/>
        </w:rPr>
        <w:t xml:space="preserve"> Москва</w:t>
      </w:r>
      <w:r w:rsidRPr="00D4014B">
        <w:rPr>
          <w:rFonts w:ascii="Times New Roman" w:hAnsi="Times New Roman"/>
          <w:sz w:val="24"/>
        </w:rPr>
        <w:t>"</w:t>
      </w:r>
      <w:r w:rsidR="006A00BA" w:rsidRPr="00D4014B">
        <w:rPr>
          <w:rFonts w:ascii="Times New Roman" w:hAnsi="Times New Roman"/>
          <w:sz w:val="24"/>
        </w:rPr>
        <w:t>.</w:t>
      </w:r>
    </w:p>
    <w:p w:rsidR="006A00BA" w:rsidRPr="00D4014B" w:rsidRDefault="006A00BA" w:rsidP="000253BC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</w:rPr>
      </w:pPr>
      <w:proofErr w:type="spellStart"/>
      <w:r w:rsidRPr="00D4014B">
        <w:rPr>
          <w:rFonts w:ascii="Times New Roman" w:hAnsi="Times New Roman"/>
          <w:b/>
          <w:sz w:val="24"/>
        </w:rPr>
        <w:t>Буланцева</w:t>
      </w:r>
      <w:proofErr w:type="spellEnd"/>
      <w:r w:rsidRPr="00D4014B">
        <w:rPr>
          <w:rFonts w:ascii="Times New Roman" w:hAnsi="Times New Roman"/>
          <w:b/>
          <w:sz w:val="24"/>
        </w:rPr>
        <w:t xml:space="preserve"> В.А.</w:t>
      </w:r>
      <w:r w:rsidRPr="00D4014B">
        <w:rPr>
          <w:rFonts w:ascii="Times New Roman" w:hAnsi="Times New Roman"/>
          <w:sz w:val="24"/>
        </w:rPr>
        <w:t xml:space="preserve">, заместитель </w:t>
      </w:r>
      <w:proofErr w:type="gramStart"/>
      <w:r w:rsidRPr="00D4014B">
        <w:rPr>
          <w:rFonts w:ascii="Times New Roman" w:hAnsi="Times New Roman"/>
          <w:sz w:val="24"/>
        </w:rPr>
        <w:t>начальника отдела налогообложения прибыли организаций Департамента налоговой</w:t>
      </w:r>
      <w:proofErr w:type="gramEnd"/>
      <w:r w:rsidRPr="00D4014B">
        <w:rPr>
          <w:rFonts w:ascii="Times New Roman" w:hAnsi="Times New Roman"/>
          <w:sz w:val="24"/>
        </w:rPr>
        <w:t xml:space="preserve"> и таможенно-тарифной политики Минфина России.</w:t>
      </w:r>
    </w:p>
    <w:p w:rsidR="006A00BA" w:rsidRPr="00D4014B" w:rsidRDefault="006A00BA" w:rsidP="000253BC">
      <w:pPr>
        <w:shd w:val="clear" w:color="auto" w:fill="FFFFFF"/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4014B">
        <w:rPr>
          <w:rFonts w:ascii="Times New Roman" w:hAnsi="Times New Roman"/>
          <w:b/>
          <w:sz w:val="24"/>
        </w:rPr>
        <w:t xml:space="preserve">Орлова М. А., </w:t>
      </w:r>
      <w:r w:rsidRPr="00D4014B">
        <w:rPr>
          <w:rFonts w:ascii="Times New Roman" w:hAnsi="Times New Roman"/>
          <w:sz w:val="24"/>
        </w:rPr>
        <w:t xml:space="preserve">руководитель </w:t>
      </w:r>
      <w:proofErr w:type="gramStart"/>
      <w:r w:rsidRPr="00D4014B">
        <w:rPr>
          <w:rFonts w:ascii="Times New Roman" w:hAnsi="Times New Roman"/>
          <w:sz w:val="24"/>
        </w:rPr>
        <w:t>Департамента администрирования страховых взносов Фонда социального страхования РФ</w:t>
      </w:r>
      <w:proofErr w:type="gramEnd"/>
      <w:r w:rsidRPr="00D4014B">
        <w:rPr>
          <w:rFonts w:ascii="Times New Roman" w:hAnsi="Times New Roman"/>
          <w:sz w:val="24"/>
        </w:rPr>
        <w:t>.</w:t>
      </w:r>
    </w:p>
    <w:p w:rsidR="006A00BA" w:rsidRPr="00D4014B" w:rsidRDefault="006A00BA" w:rsidP="000253BC">
      <w:pPr>
        <w:shd w:val="clear" w:color="auto" w:fill="FFFFFF"/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4014B">
        <w:rPr>
          <w:rFonts w:ascii="Times New Roman" w:hAnsi="Times New Roman"/>
          <w:b/>
          <w:sz w:val="24"/>
        </w:rPr>
        <w:t>Никулина Л. М.</w:t>
      </w:r>
      <w:r w:rsidRPr="00D4014B">
        <w:rPr>
          <w:rFonts w:ascii="Times New Roman" w:hAnsi="Times New Roman"/>
          <w:sz w:val="24"/>
        </w:rPr>
        <w:t>, советник государственной гражданской службы РФ 2 класса.</w:t>
      </w:r>
    </w:p>
    <w:p w:rsidR="006A00BA" w:rsidRPr="00D4014B" w:rsidRDefault="006A00BA" w:rsidP="000253BC">
      <w:pPr>
        <w:shd w:val="clear" w:color="auto" w:fill="FFFFFF"/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D4014B">
        <w:rPr>
          <w:rFonts w:ascii="Times New Roman" w:hAnsi="Times New Roman"/>
          <w:b/>
          <w:sz w:val="24"/>
        </w:rPr>
        <w:t xml:space="preserve">Акимова В. М., </w:t>
      </w:r>
      <w:r w:rsidRPr="00D4014B">
        <w:rPr>
          <w:rFonts w:ascii="Times New Roman" w:hAnsi="Times New Roman"/>
          <w:sz w:val="24"/>
        </w:rPr>
        <w:t xml:space="preserve">государственный советник налоговой службы РФ </w:t>
      </w:r>
      <w:r w:rsidRPr="00D4014B">
        <w:rPr>
          <w:rFonts w:ascii="Times New Roman" w:hAnsi="Times New Roman"/>
          <w:sz w:val="24"/>
          <w:lang w:val="en-US"/>
        </w:rPr>
        <w:t>II</w:t>
      </w:r>
      <w:r w:rsidRPr="00D4014B">
        <w:rPr>
          <w:rFonts w:ascii="Times New Roman" w:hAnsi="Times New Roman"/>
          <w:sz w:val="24"/>
        </w:rPr>
        <w:t xml:space="preserve"> ранга ФНС России. </w:t>
      </w:r>
    </w:p>
    <w:p w:rsidR="006A00BA" w:rsidRPr="00D4014B" w:rsidRDefault="006A00BA" w:rsidP="000253BC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</w:rPr>
      </w:pPr>
      <w:r w:rsidRPr="00D4014B">
        <w:rPr>
          <w:rFonts w:ascii="Times New Roman" w:hAnsi="Times New Roman"/>
          <w:b/>
          <w:sz w:val="24"/>
        </w:rPr>
        <w:t>Ведущие специалисты</w:t>
      </w:r>
      <w:r w:rsidRPr="00D4014B">
        <w:rPr>
          <w:rFonts w:ascii="Times New Roman" w:hAnsi="Times New Roman"/>
          <w:sz w:val="24"/>
        </w:rPr>
        <w:t xml:space="preserve"> Департамента бухгалтерского учёта и отчётности Банка России.</w:t>
      </w:r>
    </w:p>
    <w:p w:rsidR="006A00BA" w:rsidRPr="00D4014B" w:rsidRDefault="006A00BA" w:rsidP="000253BC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</w:rPr>
      </w:pPr>
      <w:r w:rsidRPr="00D4014B">
        <w:rPr>
          <w:rFonts w:ascii="Times New Roman" w:hAnsi="Times New Roman"/>
          <w:b/>
          <w:sz w:val="24"/>
        </w:rPr>
        <w:t>Представители</w:t>
      </w:r>
      <w:r w:rsidRPr="00D4014B">
        <w:rPr>
          <w:rFonts w:ascii="Times New Roman" w:hAnsi="Times New Roman"/>
          <w:sz w:val="24"/>
        </w:rPr>
        <w:t xml:space="preserve"> компании «</w:t>
      </w:r>
      <w:proofErr w:type="spellStart"/>
      <w:r w:rsidRPr="00D4014B">
        <w:rPr>
          <w:rFonts w:ascii="Times New Roman" w:hAnsi="Times New Roman"/>
          <w:sz w:val="24"/>
        </w:rPr>
        <w:t>ПрайсвотерхаусКуперс</w:t>
      </w:r>
      <w:proofErr w:type="spellEnd"/>
      <w:r w:rsidRPr="00D4014B">
        <w:rPr>
          <w:rFonts w:ascii="Times New Roman" w:hAnsi="Times New Roman"/>
          <w:sz w:val="24"/>
        </w:rPr>
        <w:t>»</w:t>
      </w:r>
      <w:r w:rsidR="004E4533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4E64DB" w:rsidRPr="00D4014B" w:rsidRDefault="004E64DB" w:rsidP="000253BC">
      <w:pPr>
        <w:tabs>
          <w:tab w:val="left" w:pos="709"/>
          <w:tab w:val="left" w:pos="1134"/>
        </w:tabs>
        <w:ind w:firstLine="567"/>
        <w:rPr>
          <w:rFonts w:ascii="Times New Roman" w:hAnsi="Times New Roman"/>
          <w:b/>
          <w:bCs/>
          <w:iCs/>
          <w:color w:val="C00000"/>
          <w:sz w:val="32"/>
          <w:szCs w:val="32"/>
        </w:rPr>
      </w:pPr>
    </w:p>
    <w:p w:rsidR="004E64DB" w:rsidRPr="00D4014B" w:rsidRDefault="004E64DB" w:rsidP="000253BC">
      <w:pPr>
        <w:tabs>
          <w:tab w:val="left" w:pos="709"/>
          <w:tab w:val="left" w:pos="1134"/>
        </w:tabs>
        <w:ind w:firstLine="567"/>
        <w:rPr>
          <w:rFonts w:ascii="Times New Roman" w:hAnsi="Times New Roman"/>
          <w:b/>
          <w:bCs/>
          <w:iCs/>
          <w:color w:val="C00000"/>
          <w:sz w:val="32"/>
          <w:szCs w:val="32"/>
        </w:rPr>
      </w:pPr>
    </w:p>
    <w:p w:rsidR="00BE2D66" w:rsidRPr="006A185C" w:rsidRDefault="004E64DB" w:rsidP="000253BC">
      <w:pPr>
        <w:tabs>
          <w:tab w:val="left" w:pos="709"/>
          <w:tab w:val="left" w:pos="1134"/>
        </w:tabs>
        <w:ind w:firstLine="567"/>
        <w:rPr>
          <w:rFonts w:ascii="Times New Roman" w:hAnsi="Times New Roman"/>
          <w:b/>
          <w:bCs/>
          <w:iCs/>
          <w:color w:val="C45911" w:themeColor="accent2" w:themeShade="BF"/>
          <w:sz w:val="32"/>
          <w:szCs w:val="32"/>
        </w:rPr>
      </w:pPr>
      <w:r w:rsidRPr="006A185C">
        <w:rPr>
          <w:rFonts w:ascii="Times New Roman" w:hAnsi="Times New Roman"/>
          <w:b/>
          <w:bCs/>
          <w:iCs/>
          <w:color w:val="C45911" w:themeColor="accent2" w:themeShade="BF"/>
          <w:sz w:val="32"/>
          <w:szCs w:val="32"/>
        </w:rPr>
        <w:t>ПРОГРАММА:</w:t>
      </w:r>
    </w:p>
    <w:p w:rsidR="004E64DB" w:rsidRPr="00D4014B" w:rsidRDefault="004E64DB" w:rsidP="000253B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014B">
        <w:rPr>
          <w:rFonts w:ascii="Times New Roman" w:hAnsi="Times New Roman"/>
          <w:b/>
          <w:sz w:val="24"/>
          <w:szCs w:val="24"/>
        </w:rPr>
        <w:t>Особенности применения Положений Банка России № 604-П, № 605-П</w:t>
      </w:r>
      <w:r w:rsidR="00D86727" w:rsidRPr="00D4014B">
        <w:rPr>
          <w:rFonts w:ascii="Times New Roman" w:hAnsi="Times New Roman"/>
          <w:b/>
          <w:sz w:val="24"/>
          <w:szCs w:val="24"/>
        </w:rPr>
        <w:t>, №606-П</w:t>
      </w:r>
      <w:r w:rsidRPr="00D4014B">
        <w:rPr>
          <w:rFonts w:ascii="Times New Roman" w:hAnsi="Times New Roman"/>
          <w:b/>
          <w:sz w:val="24"/>
          <w:szCs w:val="24"/>
        </w:rPr>
        <w:t xml:space="preserve"> с 1 января 2019 года, включая вопросы перехода:</w:t>
      </w:r>
    </w:p>
    <w:p w:rsidR="004E64DB" w:rsidRPr="00D4014B" w:rsidRDefault="004E64DB" w:rsidP="000253BC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4E64DB" w:rsidRPr="00D4014B" w:rsidRDefault="004E64DB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Новое в бухгалтерском учёте привлеченных и размещенных средств. Обзор основных отличий.</w:t>
      </w:r>
    </w:p>
    <w:p w:rsidR="004E64DB" w:rsidRPr="00D4014B" w:rsidRDefault="004E64DB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Классификация финансовых инструментов по категориям. Обновленная структура Плана счетов.</w:t>
      </w:r>
    </w:p>
    <w:p w:rsidR="004E64DB" w:rsidRPr="00D4014B" w:rsidRDefault="004E64DB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Применение критерия существенности при учете размещенных и привлеченных средств.</w:t>
      </w:r>
    </w:p>
    <w:p w:rsidR="004E64DB" w:rsidRPr="00D4014B" w:rsidRDefault="004E64DB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Амортизированная стоимость. Особенности расчёта и учёта.</w:t>
      </w:r>
    </w:p>
    <w:p w:rsidR="004E64DB" w:rsidRPr="00D4014B" w:rsidRDefault="004E64DB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Порядок признания процентных финансовых результатов. Метод эффективной процентной ставки. Процентные корректировки.</w:t>
      </w:r>
    </w:p>
    <w:p w:rsidR="004E64DB" w:rsidRPr="00D4014B" w:rsidRDefault="004E64DB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Оценка активов и обязатель</w:t>
      </w:r>
      <w:proofErr w:type="gramStart"/>
      <w:r w:rsidRPr="00D4014B">
        <w:rPr>
          <w:rFonts w:ascii="Times New Roman" w:hAnsi="Times New Roman"/>
        </w:rPr>
        <w:t>ств пр</w:t>
      </w:r>
      <w:proofErr w:type="gramEnd"/>
      <w:r w:rsidRPr="00D4014B">
        <w:rPr>
          <w:rFonts w:ascii="Times New Roman" w:hAnsi="Times New Roman"/>
        </w:rPr>
        <w:t xml:space="preserve">и первоначальном признании по справедливой стоимости. Особенности учета корректировок на </w:t>
      </w:r>
      <w:proofErr w:type="spellStart"/>
      <w:r w:rsidRPr="00D4014B">
        <w:rPr>
          <w:rFonts w:ascii="Times New Roman" w:hAnsi="Times New Roman"/>
        </w:rPr>
        <w:t>нерыночность</w:t>
      </w:r>
      <w:proofErr w:type="spellEnd"/>
      <w:r w:rsidRPr="00D4014B">
        <w:rPr>
          <w:rFonts w:ascii="Times New Roman" w:hAnsi="Times New Roman"/>
        </w:rPr>
        <w:t>. Типовые бухгалтерские записи.</w:t>
      </w:r>
    </w:p>
    <w:p w:rsidR="004E64DB" w:rsidRPr="00D4014B" w:rsidRDefault="004E64DB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Прочие доходы (комиссии) и прочие расходы (затраты по сделке). Особенности учета. Типовые бухгалтерские записи.</w:t>
      </w:r>
    </w:p>
    <w:p w:rsidR="004E64DB" w:rsidRPr="00D4014B" w:rsidRDefault="004E64DB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Отражение в бухгалтерском учете модификации. Типовые бухгалтерские записи.</w:t>
      </w:r>
    </w:p>
    <w:p w:rsidR="004E64DB" w:rsidRPr="00D4014B" w:rsidRDefault="004E64DB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Специфика учета оценочных резервов под ожидаемые кредитные убытки. Типовые бухгалтерские записи.</w:t>
      </w:r>
    </w:p>
    <w:p w:rsidR="004E64DB" w:rsidRPr="00D4014B" w:rsidRDefault="004E64DB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Новое в бухгалтерском учете просроченной задолженности.</w:t>
      </w:r>
    </w:p>
    <w:p w:rsidR="004E64DB" w:rsidRPr="00D4014B" w:rsidRDefault="004E64DB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Изменения в учете условных обязатель</w:t>
      </w:r>
      <w:proofErr w:type="gramStart"/>
      <w:r w:rsidRPr="00D4014B">
        <w:rPr>
          <w:rFonts w:ascii="Times New Roman" w:hAnsi="Times New Roman"/>
        </w:rPr>
        <w:t>ств кр</w:t>
      </w:r>
      <w:proofErr w:type="gramEnd"/>
      <w:r w:rsidRPr="00D4014B">
        <w:rPr>
          <w:rFonts w:ascii="Times New Roman" w:hAnsi="Times New Roman"/>
        </w:rPr>
        <w:t>едитного характера и обеспечения по размещенным средствам.</w:t>
      </w:r>
    </w:p>
    <w:p w:rsidR="004E64DB" w:rsidRPr="00D4014B" w:rsidRDefault="004E64DB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Особенности учёта банковских гарантий. Типовые бухгалтерские записи.</w:t>
      </w:r>
    </w:p>
    <w:p w:rsidR="004E64DB" w:rsidRPr="00D4014B" w:rsidRDefault="004E64DB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Анализ переходных положений.</w:t>
      </w:r>
    </w:p>
    <w:p w:rsidR="00D86727" w:rsidRPr="00D4014B" w:rsidRDefault="00D86727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Ожидаемые кредитные убытки: расчет для инструментов</w:t>
      </w:r>
    </w:p>
    <w:p w:rsidR="00D86727" w:rsidRPr="00D4014B" w:rsidRDefault="00D86727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Новая модель оценки убытков: особенности применения</w:t>
      </w:r>
    </w:p>
    <w:p w:rsidR="00D86727" w:rsidRPr="00D4014B" w:rsidRDefault="00D86727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Новые требования в учете ценных бумаг: классификация, критерии категорий.</w:t>
      </w:r>
    </w:p>
    <w:p w:rsidR="00D86727" w:rsidRPr="00D4014B" w:rsidRDefault="00D86727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Учет затрат по приобретению и выбытию ценных бумаг.</w:t>
      </w:r>
    </w:p>
    <w:p w:rsidR="00D86727" w:rsidRPr="00D4014B" w:rsidRDefault="00D86727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Новые требования в начислении процентных доходов по ценным бумагам.</w:t>
      </w:r>
    </w:p>
    <w:p w:rsidR="00D86727" w:rsidRPr="00D4014B" w:rsidRDefault="00D86727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Выбытие ценных бумаг: расхождение с Положением №579-П.</w:t>
      </w:r>
    </w:p>
    <w:p w:rsidR="00D86727" w:rsidRPr="00D4014B" w:rsidRDefault="00D86727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 xml:space="preserve">Переходный </w:t>
      </w:r>
      <w:proofErr w:type="gramStart"/>
      <w:r w:rsidRPr="00D4014B">
        <w:rPr>
          <w:rFonts w:ascii="Times New Roman" w:hAnsi="Times New Roman"/>
        </w:rPr>
        <w:t>период</w:t>
      </w:r>
      <w:proofErr w:type="gramEnd"/>
      <w:r w:rsidRPr="00D4014B">
        <w:rPr>
          <w:rFonts w:ascii="Times New Roman" w:hAnsi="Times New Roman"/>
        </w:rPr>
        <w:t>: какие шаги сделать, сверка.</w:t>
      </w:r>
    </w:p>
    <w:p w:rsidR="00D86727" w:rsidRPr="00D4014B" w:rsidRDefault="00D86727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Банковские гарантии: новые правила в учете.</w:t>
      </w:r>
    </w:p>
    <w:p w:rsidR="00D86727" w:rsidRPr="00D4014B" w:rsidRDefault="00D86727" w:rsidP="000253B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D4014B">
        <w:rPr>
          <w:rFonts w:ascii="Times New Roman" w:hAnsi="Times New Roman"/>
        </w:rPr>
        <w:t>Внебалансовый</w:t>
      </w:r>
      <w:proofErr w:type="spellEnd"/>
      <w:r w:rsidRPr="00D4014B">
        <w:rPr>
          <w:rFonts w:ascii="Times New Roman" w:hAnsi="Times New Roman"/>
        </w:rPr>
        <w:t xml:space="preserve"> учет: новые требования, возможные проводки</w:t>
      </w:r>
    </w:p>
    <w:p w:rsidR="00D86727" w:rsidRPr="00D4014B" w:rsidRDefault="00D86727" w:rsidP="000253BC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Cs w:val="22"/>
        </w:rPr>
      </w:pPr>
    </w:p>
    <w:p w:rsidR="004E64DB" w:rsidRPr="00D4014B" w:rsidRDefault="004E64DB" w:rsidP="000253BC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D4014B">
        <w:rPr>
          <w:rFonts w:ascii="Times New Roman" w:eastAsia="Times New Roman" w:hAnsi="Times New Roman"/>
          <w:b/>
          <w:sz w:val="24"/>
          <w:lang w:eastAsia="ru-RU"/>
        </w:rPr>
        <w:t>Методология и практика исчисления НДС с учётом последних изменений</w:t>
      </w:r>
    </w:p>
    <w:p w:rsidR="004E64DB" w:rsidRPr="00D4014B" w:rsidRDefault="004E64DB" w:rsidP="000253BC">
      <w:pPr>
        <w:pStyle w:val="a3"/>
        <w:numPr>
          <w:ilvl w:val="1"/>
          <w:numId w:val="14"/>
        </w:numPr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Последние изменения в законодательстве по НДС: экспертный комментарий, разъяснения.</w:t>
      </w:r>
    </w:p>
    <w:p w:rsidR="004E64DB" w:rsidRPr="00D4014B" w:rsidRDefault="004E64DB" w:rsidP="000253BC">
      <w:pPr>
        <w:pStyle w:val="a3"/>
        <w:numPr>
          <w:ilvl w:val="1"/>
          <w:numId w:val="14"/>
        </w:numPr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>Особенности формирования налоговой базы при реализации товаров (работ, услуг), в т. ч. при безвозмездной передаче.</w:t>
      </w:r>
    </w:p>
    <w:p w:rsidR="004E64DB" w:rsidRPr="00D4014B" w:rsidRDefault="004E64DB" w:rsidP="000253BC">
      <w:pPr>
        <w:pStyle w:val="a3"/>
        <w:numPr>
          <w:ilvl w:val="1"/>
          <w:numId w:val="14"/>
        </w:numPr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>Применение вычетов в отдельных ситуациях, период применения вычетов. Случаи и порядок восстановления НДС, ранее принятого к вычету.</w:t>
      </w:r>
    </w:p>
    <w:p w:rsidR="004E64DB" w:rsidRPr="00D4014B" w:rsidRDefault="004E64DB" w:rsidP="000253BC">
      <w:pPr>
        <w:pStyle w:val="a3"/>
        <w:numPr>
          <w:ilvl w:val="1"/>
          <w:numId w:val="14"/>
        </w:numPr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>Раздельный учёт входного НДС при осуществлении облагаемых и не облагаемых НДС операций.</w:t>
      </w:r>
    </w:p>
    <w:p w:rsidR="004E64DB" w:rsidRPr="00D4014B" w:rsidRDefault="004E64DB" w:rsidP="000253BC">
      <w:pPr>
        <w:pStyle w:val="a3"/>
        <w:numPr>
          <w:ilvl w:val="1"/>
          <w:numId w:val="14"/>
        </w:numPr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>Новый порядок регистрации счетов-фактур (изменения в ПП РФ № 1137).</w:t>
      </w:r>
    </w:p>
    <w:p w:rsidR="004E64DB" w:rsidRPr="00D4014B" w:rsidRDefault="004E64DB" w:rsidP="000253BC">
      <w:pPr>
        <w:pStyle w:val="a3"/>
        <w:numPr>
          <w:ilvl w:val="1"/>
          <w:numId w:val="14"/>
        </w:numPr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>Требования к оформлению счетов-фактур с учётом последних изменений. Ошибки в оформлении, не препятствующие вычету.</w:t>
      </w:r>
    </w:p>
    <w:p w:rsidR="004E64DB" w:rsidRPr="00D4014B" w:rsidRDefault="004E64DB" w:rsidP="000253BC">
      <w:pPr>
        <w:pStyle w:val="a3"/>
        <w:numPr>
          <w:ilvl w:val="1"/>
          <w:numId w:val="14"/>
        </w:numPr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Исправление счетов-фактур и оформление </w:t>
      </w:r>
      <w:proofErr w:type="spellStart"/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>доплистов</w:t>
      </w:r>
      <w:proofErr w:type="spellEnd"/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 xml:space="preserve"> к книгам покупок и продаж. Особенности применения корректировочных счетов-фактур.</w:t>
      </w:r>
    </w:p>
    <w:p w:rsidR="004E64DB" w:rsidRPr="00D4014B" w:rsidRDefault="004E64DB" w:rsidP="000253BC">
      <w:pPr>
        <w:pStyle w:val="a3"/>
        <w:numPr>
          <w:ilvl w:val="1"/>
          <w:numId w:val="14"/>
        </w:numPr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пояснений налоговым органам по результатам камеральных проверок.</w:t>
      </w:r>
    </w:p>
    <w:p w:rsidR="004E64DB" w:rsidRPr="00D4014B" w:rsidRDefault="004E64DB" w:rsidP="000253BC">
      <w:pPr>
        <w:pStyle w:val="a3"/>
        <w:numPr>
          <w:ilvl w:val="1"/>
          <w:numId w:val="14"/>
        </w:numPr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>.Проблемные вопросы исчисления НДС с учётом сложившейся арбитражной практики и разъяснений Минфина России.</w:t>
      </w:r>
    </w:p>
    <w:p w:rsidR="004E64DB" w:rsidRPr="00D4014B" w:rsidRDefault="004E64DB" w:rsidP="000253BC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4E64DB" w:rsidRPr="00D4014B" w:rsidRDefault="004E64DB" w:rsidP="000253BC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D4014B">
        <w:rPr>
          <w:rFonts w:ascii="Times New Roman" w:eastAsia="Times New Roman" w:hAnsi="Times New Roman"/>
          <w:b/>
          <w:sz w:val="24"/>
          <w:lang w:eastAsia="ru-RU"/>
        </w:rPr>
        <w:t>Налог на прибыль: исчисление и уплата с учётом последних изменений</w:t>
      </w:r>
    </w:p>
    <w:p w:rsidR="004E64DB" w:rsidRPr="00D4014B" w:rsidRDefault="004E64DB" w:rsidP="000253BC">
      <w:pPr>
        <w:pStyle w:val="a3"/>
        <w:numPr>
          <w:ilvl w:val="1"/>
          <w:numId w:val="20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>Обновление законодательной базы по налогу на прибыль.</w:t>
      </w:r>
    </w:p>
    <w:p w:rsidR="004E64DB" w:rsidRPr="00D4014B" w:rsidRDefault="004E64DB" w:rsidP="000253BC">
      <w:pPr>
        <w:pStyle w:val="a3"/>
        <w:numPr>
          <w:ilvl w:val="1"/>
          <w:numId w:val="20"/>
        </w:numPr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>Требования к документальному оформлению расходов для целей исчисления налога на прибыль.</w:t>
      </w:r>
    </w:p>
    <w:p w:rsidR="004E64DB" w:rsidRPr="00D4014B" w:rsidRDefault="004E64DB" w:rsidP="000253BC">
      <w:pPr>
        <w:pStyle w:val="a3"/>
        <w:numPr>
          <w:ilvl w:val="1"/>
          <w:numId w:val="20"/>
        </w:numPr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Амортизируемое имущество в налоговом учете: сложные вопросы.</w:t>
      </w:r>
    </w:p>
    <w:p w:rsidR="004E64DB" w:rsidRPr="00D4014B" w:rsidRDefault="004E64DB" w:rsidP="000253BC">
      <w:pPr>
        <w:pStyle w:val="a3"/>
        <w:numPr>
          <w:ilvl w:val="1"/>
          <w:numId w:val="20"/>
        </w:numPr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>Порядок признания в расходах стоимости имущества, не признаваемого амортизируемым. Сложные вопросы признания прочих расходов.</w:t>
      </w:r>
    </w:p>
    <w:p w:rsidR="004E64DB" w:rsidRPr="00D4014B" w:rsidRDefault="004E64DB" w:rsidP="000253BC">
      <w:pPr>
        <w:pStyle w:val="a3"/>
        <w:numPr>
          <w:ilvl w:val="1"/>
          <w:numId w:val="20"/>
        </w:numPr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>Налоговый учёт расходов и необоснованная налоговая выгода в свете ст. 54.1. НК РФ.</w:t>
      </w:r>
    </w:p>
    <w:p w:rsidR="004E64DB" w:rsidRPr="00D4014B" w:rsidRDefault="004E64DB" w:rsidP="000253BC">
      <w:pPr>
        <w:pStyle w:val="a3"/>
        <w:numPr>
          <w:ilvl w:val="1"/>
          <w:numId w:val="20"/>
        </w:numPr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>Арбитражная практика по вопросам налогообложения прибыли.</w:t>
      </w:r>
    </w:p>
    <w:p w:rsidR="004E64DB" w:rsidRPr="00D4014B" w:rsidRDefault="004E64DB" w:rsidP="000253BC">
      <w:pPr>
        <w:pStyle w:val="a3"/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4DB" w:rsidRPr="00D4014B" w:rsidRDefault="004E64DB" w:rsidP="000253B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D4014B">
        <w:rPr>
          <w:rFonts w:ascii="Times New Roman" w:eastAsia="Times New Roman" w:hAnsi="Times New Roman"/>
          <w:b/>
          <w:sz w:val="24"/>
          <w:lang w:eastAsia="ru-RU"/>
        </w:rPr>
        <w:t>НДФЛ: практика исчисления и уплаты с учетом последних изменений</w:t>
      </w:r>
    </w:p>
    <w:p w:rsidR="004E64DB" w:rsidRPr="00D4014B" w:rsidRDefault="004E64DB" w:rsidP="000253BC">
      <w:pPr>
        <w:pStyle w:val="a3"/>
        <w:numPr>
          <w:ilvl w:val="1"/>
          <w:numId w:val="3"/>
        </w:numPr>
        <w:tabs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>Страховые взносы: новое в законодательстве, порядок расчета, особенности исчисления и уплаты.</w:t>
      </w:r>
    </w:p>
    <w:p w:rsidR="004E64DB" w:rsidRPr="00D4014B" w:rsidRDefault="004E64DB" w:rsidP="000253BC">
      <w:pPr>
        <w:pStyle w:val="a3"/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B">
        <w:rPr>
          <w:rFonts w:ascii="Times New Roman" w:eastAsia="Times New Roman" w:hAnsi="Times New Roman"/>
          <w:sz w:val="24"/>
          <w:szCs w:val="24"/>
          <w:lang w:eastAsia="ru-RU"/>
        </w:rPr>
        <w:t>Сложные и спорные ситуации при ведении учета, составлении отчетности, исчислении налогов в разъяснениях специалистов.</w:t>
      </w:r>
    </w:p>
    <w:p w:rsidR="004E64DB" w:rsidRPr="00D4014B" w:rsidRDefault="004E64DB" w:rsidP="000253BC">
      <w:pPr>
        <w:pStyle w:val="a3"/>
        <w:tabs>
          <w:tab w:val="left" w:pos="567"/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DA6" w:rsidRPr="00D4014B" w:rsidRDefault="00013DA6" w:rsidP="000253B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D4014B">
        <w:rPr>
          <w:rFonts w:ascii="Times New Roman" w:eastAsia="Times New Roman" w:hAnsi="Times New Roman"/>
          <w:b/>
          <w:sz w:val="24"/>
          <w:lang w:eastAsia="ru-RU"/>
        </w:rPr>
        <w:t>Расчет отложенного налога на прибыль</w:t>
      </w:r>
    </w:p>
    <w:p w:rsidR="00013DA6" w:rsidRPr="00D4014B" w:rsidRDefault="00013DA6" w:rsidP="000253BC">
      <w:pPr>
        <w:pStyle w:val="a3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 xml:space="preserve">Отложенный налог </w:t>
      </w:r>
      <w:proofErr w:type="gramStart"/>
      <w:r w:rsidRPr="00D4014B">
        <w:rPr>
          <w:rFonts w:ascii="Times New Roman" w:hAnsi="Times New Roman"/>
        </w:rPr>
        <w:t>на прибыль по ценным бумагам в связи с переходом на МСФО</w:t>
      </w:r>
      <w:proofErr w:type="gramEnd"/>
      <w:r w:rsidRPr="00D4014B">
        <w:rPr>
          <w:rFonts w:ascii="Times New Roman" w:hAnsi="Times New Roman"/>
        </w:rPr>
        <w:t xml:space="preserve"> 9:</w:t>
      </w:r>
    </w:p>
    <w:p w:rsidR="00013DA6" w:rsidRPr="00D4014B" w:rsidRDefault="00013DA6" w:rsidP="000253BC">
      <w:pPr>
        <w:pStyle w:val="a3"/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расчет временной разницы по корректировкам резервов на возможные потери;</w:t>
      </w:r>
    </w:p>
    <w:p w:rsidR="00013DA6" w:rsidRPr="00D4014B" w:rsidRDefault="00013DA6" w:rsidP="000253BC">
      <w:pPr>
        <w:pStyle w:val="a3"/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расчет временной разницы по корректировкам, увеличивающим / уменьшающим стоимость долговых ценных бумаг</w:t>
      </w:r>
    </w:p>
    <w:p w:rsidR="00013DA6" w:rsidRPr="00D4014B" w:rsidRDefault="00013DA6" w:rsidP="000253BC">
      <w:pPr>
        <w:pStyle w:val="a3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Отложенный налог на прибыль по депозитам и кредитам в связи с переходом на МСФО 9:</w:t>
      </w:r>
    </w:p>
    <w:p w:rsidR="00013DA6" w:rsidRPr="00D4014B" w:rsidRDefault="00013DA6" w:rsidP="000253BC">
      <w:pPr>
        <w:pStyle w:val="a3"/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расчет временной разницы по корректировкам, увеличивающим / уменьшающим стоимость привлеченных средств;</w:t>
      </w:r>
    </w:p>
    <w:p w:rsidR="00013DA6" w:rsidRPr="00D4014B" w:rsidRDefault="00013DA6" w:rsidP="000253BC">
      <w:pPr>
        <w:pStyle w:val="a3"/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расчет временной разницы по корректировкам, увеличивающим / уменьшающим стоимость предоставленных (размещенных) денежных средств</w:t>
      </w:r>
    </w:p>
    <w:p w:rsidR="00013DA6" w:rsidRPr="00D4014B" w:rsidRDefault="00013DA6" w:rsidP="000253BC">
      <w:pPr>
        <w:pStyle w:val="a3"/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расчет временной разницы по корректировкам резервов на возможные потери.</w:t>
      </w:r>
    </w:p>
    <w:p w:rsidR="00013DA6" w:rsidRPr="00D4014B" w:rsidRDefault="00013DA6" w:rsidP="000253BC">
      <w:pPr>
        <w:pStyle w:val="a3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 xml:space="preserve">Отложенный налог </w:t>
      </w:r>
      <w:proofErr w:type="gramStart"/>
      <w:r w:rsidRPr="00D4014B">
        <w:rPr>
          <w:rFonts w:ascii="Times New Roman" w:hAnsi="Times New Roman"/>
        </w:rPr>
        <w:t>на прибыль по банковским гарантиям в связи с переходом на МСФО</w:t>
      </w:r>
      <w:proofErr w:type="gramEnd"/>
      <w:r w:rsidRPr="00D4014B">
        <w:rPr>
          <w:rFonts w:ascii="Times New Roman" w:hAnsi="Times New Roman"/>
        </w:rPr>
        <w:t xml:space="preserve"> 9.</w:t>
      </w:r>
    </w:p>
    <w:p w:rsidR="00013DA6" w:rsidRPr="00D4014B" w:rsidRDefault="00013DA6" w:rsidP="000253BC">
      <w:pPr>
        <w:pStyle w:val="a3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Отложенный налог на прибыль по имуществу.</w:t>
      </w:r>
    </w:p>
    <w:p w:rsidR="00013DA6" w:rsidRPr="00D4014B" w:rsidRDefault="00013DA6" w:rsidP="000253BC">
      <w:pPr>
        <w:pStyle w:val="a3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Отложенный налог на прибыль по недвижимости, временно неиспользуемой в основной деятельности.</w:t>
      </w:r>
    </w:p>
    <w:p w:rsidR="00013DA6" w:rsidRPr="00D4014B" w:rsidRDefault="00013DA6" w:rsidP="000253BC">
      <w:pPr>
        <w:pStyle w:val="a3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Отложенный налог на прибыль по долгосрочным активам, предназначенным для продажи.</w:t>
      </w:r>
    </w:p>
    <w:p w:rsidR="00013DA6" w:rsidRPr="00D4014B" w:rsidRDefault="00013DA6" w:rsidP="000253BC">
      <w:pPr>
        <w:pStyle w:val="a3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Отложенный налог на прибыль по нематериальным активам.</w:t>
      </w:r>
    </w:p>
    <w:p w:rsidR="00013DA6" w:rsidRPr="00D4014B" w:rsidRDefault="00013DA6" w:rsidP="000253BC">
      <w:pPr>
        <w:pStyle w:val="a3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Отложенный налог на прибыль по ценным бумагам.</w:t>
      </w:r>
    </w:p>
    <w:p w:rsidR="00013DA6" w:rsidRPr="00D4014B" w:rsidRDefault="00013DA6" w:rsidP="000253BC">
      <w:pPr>
        <w:pStyle w:val="a3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Разбор ошибок в расчете отложенного налога на прибыль.</w:t>
      </w:r>
    </w:p>
    <w:p w:rsidR="00013DA6" w:rsidRPr="00D4014B" w:rsidRDefault="00013DA6" w:rsidP="000253BC">
      <w:pPr>
        <w:pStyle w:val="a3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4014B">
        <w:rPr>
          <w:rFonts w:ascii="Times New Roman" w:hAnsi="Times New Roman"/>
        </w:rPr>
        <w:t>Контроль отражения операций по отложенному налогу на прибыль</w:t>
      </w:r>
    </w:p>
    <w:p w:rsidR="00013DA6" w:rsidRPr="00D4014B" w:rsidRDefault="00013DA6" w:rsidP="000253BC">
      <w:pPr>
        <w:pStyle w:val="a3"/>
        <w:tabs>
          <w:tab w:val="left" w:pos="567"/>
          <w:tab w:val="left" w:pos="709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ADC" w:rsidRPr="00D4014B" w:rsidRDefault="00821ADC" w:rsidP="000253B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D4014B">
        <w:rPr>
          <w:rFonts w:ascii="Times New Roman" w:eastAsia="Times New Roman" w:hAnsi="Times New Roman"/>
          <w:b/>
          <w:sz w:val="24"/>
          <w:lang w:eastAsia="ru-RU"/>
        </w:rPr>
        <w:t>Внутренние процедуры оценки достаточности капитала (ВПОДК) в соответствии с Указанием Банка России от 15.04.2015 г. № 3624-У: аспекты внутреннего аудита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 Понятие и нормативная основа ВПОДК.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 Обзор основных требований к ВПОДК кредитной организации в соответствии с Указанием № 3624-У.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 Состав и характеристика составных элементов ВПОДК кредитной организации в соответствии с Указанием № 3624-У.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 Цели и задачи внутреннего аудита ВПОДК.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 Аудит организации ВПОДК в кредитной организации: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- Корпоративное управление.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- Документы, разрабатываемые в рамках ВПОДК.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 Аудит организации системы управления рисками: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 </w:t>
      </w: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Общие вопросы.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- Кредитный риск.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- Рыночный риск.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- Операционный риск.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- Процентный риск.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- Риск ликвидности.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- Риск концентрации.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 Аудит организации процедур управления капиталом: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- Определение склонности к риску (</w:t>
      </w:r>
      <w:proofErr w:type="gramStart"/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риск-аппетита</w:t>
      </w:r>
      <w:proofErr w:type="gramEnd"/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- Определение агрегированной оценки рисков и требований к капиталу.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- Процедура оценки достаточности капитала.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- Процедуры распределения капитала через систему лимитов и контроля установленных лимитов.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- Аудит процедур </w:t>
      </w:r>
      <w:proofErr w:type="gramStart"/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стресс-тестирования</w:t>
      </w:r>
      <w:proofErr w:type="gramEnd"/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 Аудит отчетности, формируемой в рамках ВПОДК.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 Аудит результатов выполнения ВПОДК.</w:t>
      </w: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- Приложения с примерами организации и рекомендациями по внутреннему аудиту основных компонентов ВПОДК.</w:t>
      </w:r>
    </w:p>
    <w:p w:rsidR="00821ADC" w:rsidRPr="00D4014B" w:rsidRDefault="00821ADC" w:rsidP="000253B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D4014B">
        <w:rPr>
          <w:rFonts w:ascii="Times New Roman" w:eastAsia="Times New Roman" w:hAnsi="Times New Roman"/>
          <w:b/>
          <w:sz w:val="24"/>
          <w:lang w:eastAsia="ru-RU"/>
        </w:rPr>
        <w:t>Комментарии по порядку заполнения формы регуляторной отчетности оценки ВПОДК (0409111): самооценка качества ВПОДК кредитных организаций в соответствии с Указанием Банка России от 07.12.2015 № 3883-У</w:t>
      </w:r>
    </w:p>
    <w:p w:rsidR="00013DA6" w:rsidRPr="00D4014B" w:rsidRDefault="00D86727" w:rsidP="000253BC">
      <w:pPr>
        <w:tabs>
          <w:tab w:val="left" w:pos="709"/>
          <w:tab w:val="left" w:pos="1134"/>
        </w:tabs>
        <w:spacing w:after="0" w:line="330" w:lineRule="atLeast"/>
        <w:ind w:firstLine="56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</w:t>
      </w:r>
      <w:r w:rsidR="00821ADC"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Общая информация о форме регуляторной отчетности о ВПОДК кредитных организаций (проект)</w:t>
      </w:r>
      <w:r w:rsidR="00013DA6"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013DA6" w:rsidRPr="00D4014B" w:rsidRDefault="00821ADC" w:rsidP="000253BC">
      <w:pPr>
        <w:tabs>
          <w:tab w:val="left" w:pos="709"/>
          <w:tab w:val="left" w:pos="1134"/>
        </w:tabs>
        <w:spacing w:after="0" w:line="330" w:lineRule="atLeast"/>
        <w:ind w:firstLine="56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2. Комментарии по порядку составления раздела 1</w:t>
      </w:r>
      <w:r w:rsidR="00D86727"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"</w:t>
      </w:r>
      <w:r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Информация об организации ВПОДК</w:t>
      </w:r>
      <w:r w:rsidR="00D86727"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"</w:t>
      </w:r>
      <w:r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:</w:t>
      </w:r>
    </w:p>
    <w:p w:rsidR="00821ADC" w:rsidRPr="00D4014B" w:rsidRDefault="00821ADC" w:rsidP="000253BC">
      <w:pPr>
        <w:tabs>
          <w:tab w:val="left" w:pos="709"/>
          <w:tab w:val="left" w:pos="1134"/>
        </w:tabs>
        <w:spacing w:after="0" w:line="330" w:lineRule="atLeast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3.</w:t>
      </w:r>
      <w:r w:rsidR="00013DA6"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Комментарии по порядку составления раздела 2</w:t>
      </w:r>
      <w:r w:rsidR="00013DA6"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"</w:t>
      </w:r>
      <w:r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Информация об организации системы управления рисками в кредитной организации и результатах оценки достаточности капитала</w:t>
      </w:r>
      <w:r w:rsidR="00013DA6"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"</w:t>
      </w:r>
    </w:p>
    <w:p w:rsidR="00013DA6" w:rsidRPr="00D4014B" w:rsidRDefault="00821ADC" w:rsidP="000253BC">
      <w:pPr>
        <w:tabs>
          <w:tab w:val="left" w:pos="709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4. Комментарии по порядку составления раздела 3</w:t>
      </w:r>
      <w:r w:rsidR="00013DA6"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"</w:t>
      </w:r>
      <w:r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Документы кредитной организации, разрабатываемые в рамках ВПОДК.</w:t>
      </w:r>
      <w:r w:rsidR="00013DA6"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"</w:t>
      </w:r>
    </w:p>
    <w:p w:rsidR="00013DA6" w:rsidRPr="00D4014B" w:rsidRDefault="00821ADC" w:rsidP="000253BC">
      <w:pPr>
        <w:tabs>
          <w:tab w:val="left" w:pos="709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5. Комментарии по порядку составления раздела 4</w:t>
      </w:r>
      <w:r w:rsidR="00013DA6"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"</w:t>
      </w:r>
      <w:r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Информация о несоответствии требованиям Указания Банка России № 3624-У и сроках устранения данных несоответствий.</w:t>
      </w:r>
      <w:r w:rsidR="00013DA6"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6. Рекомендации по порядку проведения самооценки качества ВПОДК кредитной организации в соответствии с Указанием Банка России от 07.12.2015 № 3883-У на основе данных  формы регуляторной отчетности о ВПОДК кредитных организаций (проект).</w:t>
      </w:r>
      <w:r w:rsidR="00013DA6"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"</w:t>
      </w:r>
    </w:p>
    <w:p w:rsidR="00821ADC" w:rsidRPr="00D4014B" w:rsidRDefault="00013DA6" w:rsidP="000253BC">
      <w:pPr>
        <w:tabs>
          <w:tab w:val="left" w:pos="709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color w:val="auto"/>
          <w:sz w:val="24"/>
          <w:szCs w:val="22"/>
          <w:lang w:eastAsia="ru-RU"/>
        </w:rPr>
      </w:pPr>
      <w:r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821ADC" w:rsidRPr="00D4014B">
        <w:rPr>
          <w:rFonts w:ascii="Times New Roman" w:eastAsia="Times New Roman" w:hAnsi="Times New Roman"/>
          <w:bCs/>
          <w:sz w:val="20"/>
          <w:szCs w:val="20"/>
          <w:lang w:eastAsia="ru-RU"/>
        </w:rPr>
        <w:t>. Приложение. Пример заполнения формы регуляторной отчетности о ВПОДК кредитных организаций (проект).</w:t>
      </w:r>
    </w:p>
    <w:p w:rsidR="00821ADC" w:rsidRPr="00D4014B" w:rsidRDefault="00821ADC" w:rsidP="000253BC">
      <w:pPr>
        <w:pStyle w:val="a3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821ADC" w:rsidRPr="00D4014B" w:rsidRDefault="00821ADC" w:rsidP="000253B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D4014B">
        <w:rPr>
          <w:rFonts w:ascii="Times New Roman" w:eastAsia="Times New Roman" w:hAnsi="Times New Roman"/>
          <w:b/>
          <w:sz w:val="24"/>
          <w:lang w:eastAsia="ru-RU"/>
        </w:rPr>
        <w:t>Новое в порядке составления и представления форм отчетности по детальным кредитным данным 0409303, 0409128, 0409129, 0409302, 0409316, вступающих в силу с 1 января 2019 года</w:t>
      </w:r>
    </w:p>
    <w:p w:rsidR="00821ADC" w:rsidRPr="00D4014B" w:rsidRDefault="00821ADC" w:rsidP="000253BC">
      <w:pPr>
        <w:pStyle w:val="a3"/>
        <w:numPr>
          <w:ilvl w:val="0"/>
          <w:numId w:val="21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Детальный обзор новых изменений к порядку составления и представления формы отчетности по детальным кредитным данным 0409303 «Сведения о ссудах, предоставленных юридическим лицам»:</w:t>
      </w:r>
      <w:r w:rsidRPr="00D4014B">
        <w:rPr>
          <w:rFonts w:ascii="Times New Roman" w:eastAsia="Times New Roman" w:hAnsi="Times New Roman"/>
          <w:b/>
          <w:sz w:val="20"/>
          <w:szCs w:val="20"/>
          <w:lang w:eastAsia="ru-RU"/>
        </w:rPr>
        <w:t> </w:t>
      </w:r>
    </w:p>
    <w:p w:rsidR="00821ADC" w:rsidRPr="00D4014B" w:rsidRDefault="00013DA6" w:rsidP="000253BC">
      <w:pPr>
        <w:pStyle w:val="a3"/>
        <w:numPr>
          <w:ilvl w:val="1"/>
          <w:numId w:val="21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</w:t>
      </w:r>
      <w:r w:rsidR="00821ADC" w:rsidRPr="00D4014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ведение новых показателей:</w:t>
      </w:r>
    </w:p>
    <w:p w:rsidR="00821ADC" w:rsidRPr="00D4014B" w:rsidRDefault="00821ADC" w:rsidP="000253BC">
      <w:pPr>
        <w:pStyle w:val="a3"/>
        <w:numPr>
          <w:ilvl w:val="1"/>
          <w:numId w:val="22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отражение операций по факторингу;</w:t>
      </w:r>
    </w:p>
    <w:p w:rsidR="00821ADC" w:rsidRPr="00D4014B" w:rsidRDefault="00821ADC" w:rsidP="000253BC">
      <w:pPr>
        <w:pStyle w:val="a3"/>
        <w:numPr>
          <w:ilvl w:val="1"/>
          <w:numId w:val="22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по объему предоставленных и пролонгированных средств;</w:t>
      </w:r>
    </w:p>
    <w:p w:rsidR="00821ADC" w:rsidRPr="00D4014B" w:rsidRDefault="00821ADC" w:rsidP="000253BC">
      <w:pPr>
        <w:pStyle w:val="a3"/>
        <w:numPr>
          <w:ilvl w:val="1"/>
          <w:numId w:val="22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по целям кредитования.</w:t>
      </w:r>
    </w:p>
    <w:p w:rsidR="00821ADC" w:rsidRPr="00D4014B" w:rsidRDefault="00013DA6" w:rsidP="000253BC">
      <w:pPr>
        <w:pStyle w:val="a3"/>
        <w:numPr>
          <w:ilvl w:val="1"/>
          <w:numId w:val="21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</w:t>
      </w:r>
      <w:r w:rsidR="00821ADC" w:rsidRPr="00D4014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точнение отдельных положений:</w:t>
      </w:r>
    </w:p>
    <w:p w:rsidR="00821ADC" w:rsidRPr="00D4014B" w:rsidRDefault="00821ADC" w:rsidP="000253BC">
      <w:pPr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spacing w:after="0" w:line="36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порядок отражения обеспечения;</w:t>
      </w:r>
    </w:p>
    <w:p w:rsidR="00821ADC" w:rsidRPr="00D4014B" w:rsidRDefault="00821ADC" w:rsidP="000253BC">
      <w:pPr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spacing w:after="0" w:line="36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реструктуризаци</w:t>
      </w:r>
      <w:proofErr w:type="spellEnd"/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13DA6" w:rsidRPr="00D4014B" w:rsidRDefault="00821ADC" w:rsidP="000253BC">
      <w:pPr>
        <w:pStyle w:val="a3"/>
        <w:numPr>
          <w:ilvl w:val="1"/>
          <w:numId w:val="21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Комментарии  к правилам обязательного и предупредительного контроля.</w:t>
      </w:r>
    </w:p>
    <w:p w:rsidR="00821ADC" w:rsidRPr="00D4014B" w:rsidRDefault="00821ADC" w:rsidP="000253BC">
      <w:pPr>
        <w:pStyle w:val="a3"/>
        <w:numPr>
          <w:ilvl w:val="1"/>
          <w:numId w:val="21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Обзор типичных ошибок при формировании отчетности.</w:t>
      </w:r>
    </w:p>
    <w:p w:rsidR="00821ADC" w:rsidRPr="00D4014B" w:rsidRDefault="00821ADC" w:rsidP="000253BC">
      <w:pPr>
        <w:pStyle w:val="a3"/>
        <w:numPr>
          <w:ilvl w:val="0"/>
          <w:numId w:val="21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Детальный обзор новых изменений к порядку составления и представления формы  0409316 – «Сведения о жилищных кредитах»:</w:t>
      </w:r>
    </w:p>
    <w:p w:rsidR="00013DA6" w:rsidRPr="00D4014B" w:rsidRDefault="00821ADC" w:rsidP="000253BC">
      <w:pPr>
        <w:pStyle w:val="a3"/>
        <w:numPr>
          <w:ilvl w:val="1"/>
          <w:numId w:val="21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Изменение порядка представления 1 раздела (изменение структуры раздела)</w:t>
      </w:r>
      <w:r w:rsidR="00013DA6" w:rsidRPr="00D4014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13DA6" w:rsidRPr="00D4014B" w:rsidRDefault="00821ADC" w:rsidP="000253BC">
      <w:pPr>
        <w:pStyle w:val="a3"/>
        <w:numPr>
          <w:ilvl w:val="1"/>
          <w:numId w:val="21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Изменение порядка представления 4 раздела.</w:t>
      </w:r>
    </w:p>
    <w:p w:rsidR="00821ADC" w:rsidRPr="00D4014B" w:rsidRDefault="00821ADC" w:rsidP="000253BC">
      <w:pPr>
        <w:pStyle w:val="a3"/>
        <w:numPr>
          <w:ilvl w:val="1"/>
          <w:numId w:val="21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Введение </w:t>
      </w:r>
      <w:r w:rsidRPr="00D4014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новых показателей</w:t>
      </w:r>
    </w:p>
    <w:p w:rsidR="00013DA6" w:rsidRPr="00D4014B" w:rsidRDefault="00821ADC" w:rsidP="000253BC">
      <w:pPr>
        <w:pStyle w:val="a3"/>
        <w:numPr>
          <w:ilvl w:val="0"/>
          <w:numId w:val="21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Обзор  новых изменений к порядку составления отчетности по формам:</w:t>
      </w:r>
      <w:r w:rsidR="00013DA6"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013DA6" w:rsidRPr="00D4014B" w:rsidRDefault="00013DA6" w:rsidP="000253BC">
      <w:pPr>
        <w:pStyle w:val="a3"/>
        <w:numPr>
          <w:ilvl w:val="1"/>
          <w:numId w:val="21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821ADC"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0409128  – </w:t>
      </w:r>
      <w:r w:rsidR="00821ADC" w:rsidRPr="00D4014B">
        <w:rPr>
          <w:rFonts w:ascii="Times New Roman" w:eastAsia="Times New Roman" w:hAnsi="Times New Roman"/>
          <w:sz w:val="20"/>
          <w:szCs w:val="20"/>
          <w:lang w:eastAsia="ru-RU"/>
        </w:rPr>
        <w:t>«Данные о средневзвешенных процентных ставках по кредитам, предоставленным кредитной организацией".</w:t>
      </w:r>
    </w:p>
    <w:p w:rsidR="00013DA6" w:rsidRPr="00D4014B" w:rsidRDefault="00821ADC" w:rsidP="000253BC">
      <w:pPr>
        <w:pStyle w:val="a3"/>
        <w:numPr>
          <w:ilvl w:val="1"/>
          <w:numId w:val="21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0409129</w:t>
      </w: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 – «Данные о средневзвешенных процентных ставках по привлеченным кредитной организацией депозитам, вкладам».</w:t>
      </w:r>
    </w:p>
    <w:p w:rsidR="00821ADC" w:rsidRPr="00D4014B" w:rsidRDefault="00821ADC" w:rsidP="000253BC">
      <w:pPr>
        <w:pStyle w:val="a3"/>
        <w:numPr>
          <w:ilvl w:val="1"/>
          <w:numId w:val="21"/>
        </w:numPr>
        <w:tabs>
          <w:tab w:val="left" w:pos="709"/>
          <w:tab w:val="left" w:pos="1134"/>
        </w:tabs>
        <w:spacing w:after="0" w:line="330" w:lineRule="atLeast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1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0409302</w:t>
      </w: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 – «Сведения о размещенных и привлеченных средствах» (</w:t>
      </w:r>
      <w:r w:rsidRPr="00D4014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Новое:</w:t>
      </w:r>
      <w:r w:rsidRPr="00D4014B">
        <w:rPr>
          <w:rFonts w:ascii="Times New Roman" w:eastAsia="Times New Roman" w:hAnsi="Times New Roman"/>
          <w:sz w:val="20"/>
          <w:szCs w:val="20"/>
          <w:lang w:eastAsia="ru-RU"/>
        </w:rPr>
        <w:t> изменение порядка представления сведений о привлеченных средствах).</w:t>
      </w:r>
    </w:p>
    <w:p w:rsidR="00013DA6" w:rsidRPr="00D4014B" w:rsidRDefault="00013DA6" w:rsidP="000253BC">
      <w:pPr>
        <w:tabs>
          <w:tab w:val="left" w:pos="709"/>
          <w:tab w:val="left" w:pos="1134"/>
        </w:tabs>
        <w:ind w:firstLine="567"/>
        <w:rPr>
          <w:rFonts w:ascii="Times New Roman" w:hAnsi="Times New Roman"/>
          <w:b/>
          <w:sz w:val="24"/>
        </w:rPr>
      </w:pPr>
    </w:p>
    <w:p w:rsidR="002F2E8B" w:rsidRPr="00D4014B" w:rsidRDefault="00013DA6" w:rsidP="000253B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D4014B">
        <w:rPr>
          <w:rFonts w:ascii="Times New Roman" w:eastAsia="Times New Roman" w:hAnsi="Times New Roman"/>
          <w:b/>
          <w:sz w:val="24"/>
          <w:lang w:eastAsia="ru-RU"/>
        </w:rPr>
        <w:t>Изменения в формах публикуемой отчетности с 01.01.2019. Комментарии по заполнению.</w:t>
      </w:r>
      <w:r w:rsidR="002F2E8B" w:rsidRPr="00D4014B">
        <w:rPr>
          <w:rFonts w:ascii="Times New Roman" w:eastAsia="Times New Roman" w:hAnsi="Times New Roman"/>
          <w:b/>
          <w:sz w:val="24"/>
          <w:lang w:eastAsia="ru-RU"/>
        </w:rPr>
        <w:t xml:space="preserve"> Форма 0409814: нетипичные корректировки.</w:t>
      </w:r>
    </w:p>
    <w:p w:rsidR="006A00BA" w:rsidRPr="00D4014B" w:rsidRDefault="006A00BA" w:rsidP="00D4014B">
      <w:pPr>
        <w:rPr>
          <w:rFonts w:ascii="Times New Roman" w:hAnsi="Times New Roman"/>
          <w:lang w:eastAsia="ru-RU"/>
        </w:rPr>
      </w:pPr>
    </w:p>
    <w:p w:rsidR="00D4014B" w:rsidRPr="006A185C" w:rsidRDefault="00D4014B" w:rsidP="002B1636">
      <w:pPr>
        <w:rPr>
          <w:rFonts w:ascii="Times New Roman" w:hAnsi="Times New Roman"/>
          <w:b/>
          <w:color w:val="C45911" w:themeColor="accent2" w:themeShade="BF"/>
          <w:sz w:val="24"/>
          <w:lang w:eastAsia="ru-RU"/>
        </w:rPr>
      </w:pPr>
      <w:r w:rsidRPr="006A185C">
        <w:rPr>
          <w:rFonts w:ascii="Times New Roman" w:hAnsi="Times New Roman"/>
          <w:b/>
          <w:color w:val="C45911" w:themeColor="accent2" w:themeShade="BF"/>
          <w:sz w:val="24"/>
          <w:lang w:eastAsia="ru-RU"/>
        </w:rPr>
        <w:t>СКИДКИ</w:t>
      </w:r>
    </w:p>
    <w:p w:rsidR="002B1636" w:rsidRPr="00D4014B" w:rsidRDefault="002B1636" w:rsidP="00D4014B">
      <w:pPr>
        <w:pStyle w:val="a3"/>
        <w:numPr>
          <w:ilvl w:val="0"/>
          <w:numId w:val="26"/>
        </w:numPr>
        <w:rPr>
          <w:rFonts w:ascii="Times New Roman" w:hAnsi="Times New Roman"/>
          <w:lang w:eastAsia="ru-RU"/>
        </w:rPr>
      </w:pPr>
      <w:r w:rsidRPr="00D4014B">
        <w:rPr>
          <w:rFonts w:ascii="Times New Roman" w:hAnsi="Times New Roman"/>
          <w:b/>
          <w:lang w:eastAsia="ru-RU"/>
        </w:rPr>
        <w:t>15%</w:t>
      </w:r>
      <w:r w:rsidRPr="00D4014B">
        <w:rPr>
          <w:rFonts w:ascii="Times New Roman" w:hAnsi="Times New Roman"/>
          <w:lang w:eastAsia="ru-RU"/>
        </w:rPr>
        <w:t xml:space="preserve"> - оплата в сентябре</w:t>
      </w:r>
    </w:p>
    <w:p w:rsidR="002B1636" w:rsidRPr="00D4014B" w:rsidRDefault="002B1636" w:rsidP="00D4014B">
      <w:pPr>
        <w:pStyle w:val="a3"/>
        <w:numPr>
          <w:ilvl w:val="0"/>
          <w:numId w:val="26"/>
        </w:numPr>
        <w:rPr>
          <w:rFonts w:ascii="Times New Roman" w:hAnsi="Times New Roman"/>
          <w:lang w:eastAsia="ru-RU"/>
        </w:rPr>
      </w:pPr>
      <w:r w:rsidRPr="00D4014B">
        <w:rPr>
          <w:rFonts w:ascii="Times New Roman" w:hAnsi="Times New Roman"/>
          <w:b/>
          <w:lang w:eastAsia="ru-RU"/>
        </w:rPr>
        <w:t>10%</w:t>
      </w:r>
      <w:r w:rsidRPr="00D4014B">
        <w:rPr>
          <w:rFonts w:ascii="Times New Roman" w:hAnsi="Times New Roman"/>
          <w:lang w:eastAsia="ru-RU"/>
        </w:rPr>
        <w:t xml:space="preserve"> - оплата в октябре</w:t>
      </w:r>
    </w:p>
    <w:p w:rsidR="002B1636" w:rsidRPr="00D4014B" w:rsidRDefault="002B1636" w:rsidP="00D4014B">
      <w:pPr>
        <w:pStyle w:val="a3"/>
        <w:numPr>
          <w:ilvl w:val="0"/>
          <w:numId w:val="26"/>
        </w:numPr>
        <w:rPr>
          <w:rFonts w:ascii="Times New Roman" w:hAnsi="Times New Roman"/>
          <w:lang w:eastAsia="ru-RU"/>
        </w:rPr>
      </w:pPr>
      <w:r w:rsidRPr="00D4014B">
        <w:rPr>
          <w:rFonts w:ascii="Times New Roman" w:hAnsi="Times New Roman"/>
          <w:lang w:eastAsia="ru-RU"/>
        </w:rPr>
        <w:t xml:space="preserve">постоянным клиентам скидка </w:t>
      </w:r>
      <w:r w:rsidRPr="00D4014B">
        <w:rPr>
          <w:rFonts w:ascii="Times New Roman" w:hAnsi="Times New Roman"/>
          <w:b/>
          <w:lang w:eastAsia="ru-RU"/>
        </w:rPr>
        <w:t>5%</w:t>
      </w:r>
    </w:p>
    <w:p w:rsidR="00D4014B" w:rsidRPr="00D4014B" w:rsidRDefault="00D4014B" w:rsidP="002B1636">
      <w:pPr>
        <w:rPr>
          <w:rFonts w:ascii="Times New Roman" w:hAnsi="Times New Roman"/>
          <w:lang w:eastAsia="ru-RU"/>
        </w:rPr>
      </w:pPr>
    </w:p>
    <w:p w:rsidR="002B1636" w:rsidRPr="00D4014B" w:rsidRDefault="00D4014B" w:rsidP="002B1636">
      <w:pPr>
        <w:rPr>
          <w:rFonts w:ascii="Times New Roman" w:hAnsi="Times New Roman"/>
          <w:b/>
          <w:lang w:eastAsia="ru-RU"/>
        </w:rPr>
      </w:pPr>
      <w:r w:rsidRPr="006A185C">
        <w:rPr>
          <w:rFonts w:ascii="Times New Roman" w:hAnsi="Times New Roman"/>
          <w:b/>
          <w:color w:val="C45911" w:themeColor="accent2" w:themeShade="BF"/>
          <w:sz w:val="24"/>
          <w:lang w:eastAsia="ru-RU"/>
        </w:rPr>
        <w:t>С</w:t>
      </w:r>
      <w:r w:rsidR="002B1636" w:rsidRPr="006A185C">
        <w:rPr>
          <w:rFonts w:ascii="Times New Roman" w:hAnsi="Times New Roman"/>
          <w:b/>
          <w:color w:val="C45911" w:themeColor="accent2" w:themeShade="BF"/>
          <w:sz w:val="24"/>
          <w:lang w:eastAsia="ru-RU"/>
        </w:rPr>
        <w:t>тоимость</w:t>
      </w:r>
      <w:r w:rsidRPr="006A185C">
        <w:rPr>
          <w:rFonts w:ascii="Times New Roman" w:hAnsi="Times New Roman"/>
          <w:b/>
          <w:color w:val="C45911" w:themeColor="accent2" w:themeShade="BF"/>
          <w:sz w:val="24"/>
          <w:lang w:eastAsia="ru-RU"/>
        </w:rPr>
        <w:t xml:space="preserve"> участия:</w:t>
      </w:r>
      <w:r w:rsidRPr="006A185C">
        <w:rPr>
          <w:rFonts w:ascii="Times New Roman" w:hAnsi="Times New Roman"/>
          <w:b/>
          <w:color w:val="C45911" w:themeColor="accent2" w:themeShade="BF"/>
          <w:lang w:eastAsia="ru-RU"/>
        </w:rPr>
        <w:t xml:space="preserve"> </w:t>
      </w:r>
      <w:r w:rsidR="002B1636" w:rsidRPr="006A185C">
        <w:rPr>
          <w:rFonts w:ascii="Times New Roman" w:hAnsi="Times New Roman"/>
          <w:b/>
          <w:color w:val="C45911" w:themeColor="accent2" w:themeShade="BF"/>
          <w:lang w:eastAsia="ru-RU"/>
        </w:rPr>
        <w:t xml:space="preserve"> </w:t>
      </w:r>
      <w:r w:rsidR="002B1636" w:rsidRPr="00D4014B">
        <w:rPr>
          <w:rFonts w:ascii="Times New Roman" w:hAnsi="Times New Roman"/>
          <w:b/>
          <w:lang w:eastAsia="ru-RU"/>
        </w:rPr>
        <w:t>65</w:t>
      </w:r>
      <w:r w:rsidRPr="00D4014B">
        <w:rPr>
          <w:rFonts w:ascii="Times New Roman" w:hAnsi="Times New Roman"/>
          <w:b/>
          <w:lang w:eastAsia="ru-RU"/>
        </w:rPr>
        <w:t> </w:t>
      </w:r>
      <w:r w:rsidR="002B1636" w:rsidRPr="00D4014B">
        <w:rPr>
          <w:rFonts w:ascii="Times New Roman" w:hAnsi="Times New Roman"/>
          <w:b/>
          <w:lang w:eastAsia="ru-RU"/>
        </w:rPr>
        <w:t>000</w:t>
      </w:r>
      <w:r w:rsidRPr="00D4014B">
        <w:rPr>
          <w:rFonts w:ascii="Times New Roman" w:hAnsi="Times New Roman"/>
          <w:b/>
          <w:lang w:eastAsia="ru-RU"/>
        </w:rPr>
        <w:t xml:space="preserve"> руб.</w:t>
      </w:r>
    </w:p>
    <w:sectPr w:rsidR="002B1636" w:rsidRPr="00D4014B" w:rsidSect="004E64DB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EC3"/>
    <w:multiLevelType w:val="multilevel"/>
    <w:tmpl w:val="CCB83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9125F2"/>
    <w:multiLevelType w:val="hybridMultilevel"/>
    <w:tmpl w:val="0F6E3DBA"/>
    <w:lvl w:ilvl="0" w:tplc="9572BE7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E78E1"/>
    <w:multiLevelType w:val="hybridMultilevel"/>
    <w:tmpl w:val="FC48E2C2"/>
    <w:lvl w:ilvl="0" w:tplc="0ABE5FF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B91CF90C">
      <w:start w:val="1"/>
      <w:numFmt w:val="decimal"/>
      <w:lvlText w:val="%2."/>
      <w:lvlJc w:val="left"/>
      <w:pPr>
        <w:ind w:left="1644" w:hanging="564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BE1"/>
    <w:multiLevelType w:val="multilevel"/>
    <w:tmpl w:val="BB2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77AEF"/>
    <w:multiLevelType w:val="hybridMultilevel"/>
    <w:tmpl w:val="EA2AF6F2"/>
    <w:lvl w:ilvl="0" w:tplc="0850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74ED"/>
    <w:multiLevelType w:val="hybridMultilevel"/>
    <w:tmpl w:val="0D3C0396"/>
    <w:lvl w:ilvl="0" w:tplc="A3241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90263"/>
    <w:multiLevelType w:val="multilevel"/>
    <w:tmpl w:val="7806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21F24"/>
    <w:multiLevelType w:val="multilevel"/>
    <w:tmpl w:val="DD5A4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30987144"/>
    <w:multiLevelType w:val="hybridMultilevel"/>
    <w:tmpl w:val="19A2CB4E"/>
    <w:lvl w:ilvl="0" w:tplc="6F80F03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5444"/>
    <w:multiLevelType w:val="hybridMultilevel"/>
    <w:tmpl w:val="1408C1D0"/>
    <w:lvl w:ilvl="0" w:tplc="66E60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26A3F"/>
    <w:multiLevelType w:val="multilevel"/>
    <w:tmpl w:val="87A8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2D4A4F"/>
    <w:multiLevelType w:val="hybridMultilevel"/>
    <w:tmpl w:val="17CA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37062"/>
    <w:multiLevelType w:val="multilevel"/>
    <w:tmpl w:val="52D0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FB43DE"/>
    <w:multiLevelType w:val="hybridMultilevel"/>
    <w:tmpl w:val="DA5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B0BC0"/>
    <w:multiLevelType w:val="multilevel"/>
    <w:tmpl w:val="B100D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B348D2"/>
    <w:multiLevelType w:val="hybridMultilevel"/>
    <w:tmpl w:val="D1E84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AD3A69"/>
    <w:multiLevelType w:val="multilevel"/>
    <w:tmpl w:val="0C3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12287"/>
    <w:multiLevelType w:val="hybridMultilevel"/>
    <w:tmpl w:val="9D1495BC"/>
    <w:lvl w:ilvl="0" w:tplc="6F80F03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BC678E"/>
    <w:multiLevelType w:val="hybridMultilevel"/>
    <w:tmpl w:val="FA08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06917"/>
    <w:multiLevelType w:val="multilevel"/>
    <w:tmpl w:val="ACBE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E269C"/>
    <w:multiLevelType w:val="hybridMultilevel"/>
    <w:tmpl w:val="AAAA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8545C"/>
    <w:multiLevelType w:val="hybridMultilevel"/>
    <w:tmpl w:val="4A062426"/>
    <w:lvl w:ilvl="0" w:tplc="816814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D58DC"/>
    <w:multiLevelType w:val="multilevel"/>
    <w:tmpl w:val="1D92D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77111E69"/>
    <w:multiLevelType w:val="multilevel"/>
    <w:tmpl w:val="D464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C2087B"/>
    <w:multiLevelType w:val="hybridMultilevel"/>
    <w:tmpl w:val="0A8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23"/>
  </w:num>
  <w:num w:numId="6">
    <w:abstractNumId w:val="12"/>
  </w:num>
  <w:num w:numId="7">
    <w:abstractNumId w:val="19"/>
  </w:num>
  <w:num w:numId="8">
    <w:abstractNumId w:val="16"/>
  </w:num>
  <w:num w:numId="9">
    <w:abstractNumId w:val="3"/>
  </w:num>
  <w:num w:numId="10">
    <w:abstractNumId w:val="6"/>
  </w:num>
  <w:num w:numId="11">
    <w:abstractNumId w:val="24"/>
  </w:num>
  <w:num w:numId="12">
    <w:abstractNumId w:val="17"/>
  </w:num>
  <w:num w:numId="13">
    <w:abstractNumId w:val="8"/>
  </w:num>
  <w:num w:numId="14">
    <w:abstractNumId w:val="0"/>
  </w:num>
  <w:num w:numId="15">
    <w:abstractNumId w:val="11"/>
  </w:num>
  <w:num w:numId="16">
    <w:abstractNumId w:val="13"/>
  </w:num>
  <w:num w:numId="17">
    <w:abstractNumId w:val="2"/>
    <w:lvlOverride w:ilvl="0">
      <w:lvl w:ilvl="0" w:tplc="0ABE5FF4">
        <w:start w:val="1"/>
        <w:numFmt w:val="decimal"/>
        <w:lvlText w:val="%1."/>
        <w:lvlJc w:val="left"/>
        <w:pPr>
          <w:ind w:left="1644" w:hanging="564"/>
        </w:pPr>
        <w:rPr>
          <w:rFonts w:hint="default"/>
          <w:sz w:val="28"/>
        </w:rPr>
      </w:lvl>
    </w:lvlOverride>
    <w:lvlOverride w:ilvl="1">
      <w:lvl w:ilvl="1" w:tplc="B91CF90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8"/>
  </w:num>
  <w:num w:numId="19">
    <w:abstractNumId w:val="21"/>
  </w:num>
  <w:num w:numId="20">
    <w:abstractNumId w:val="9"/>
  </w:num>
  <w:num w:numId="21">
    <w:abstractNumId w:val="22"/>
  </w:num>
  <w:num w:numId="22">
    <w:abstractNumId w:val="7"/>
  </w:num>
  <w:num w:numId="23">
    <w:abstractNumId w:val="15"/>
  </w:num>
  <w:num w:numId="24">
    <w:abstractNumId w:val="5"/>
  </w:num>
  <w:num w:numId="25">
    <w:abstractNumId w:val="4"/>
  </w:num>
  <w:num w:numId="26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vla">
    <w15:presenceInfo w15:providerId="None" w15:userId="nav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BA"/>
    <w:rsid w:val="00013DA6"/>
    <w:rsid w:val="000253BC"/>
    <w:rsid w:val="000D7283"/>
    <w:rsid w:val="00277E68"/>
    <w:rsid w:val="002B1636"/>
    <w:rsid w:val="002F2E8B"/>
    <w:rsid w:val="00333FCD"/>
    <w:rsid w:val="00370AC8"/>
    <w:rsid w:val="004566DF"/>
    <w:rsid w:val="004C2107"/>
    <w:rsid w:val="004D0C1E"/>
    <w:rsid w:val="004E4533"/>
    <w:rsid w:val="004E64DB"/>
    <w:rsid w:val="00537F25"/>
    <w:rsid w:val="005C5BE7"/>
    <w:rsid w:val="006A00BA"/>
    <w:rsid w:val="006A185C"/>
    <w:rsid w:val="00821ADC"/>
    <w:rsid w:val="00917204"/>
    <w:rsid w:val="00BE2D66"/>
    <w:rsid w:val="00C35C5C"/>
    <w:rsid w:val="00C47BD7"/>
    <w:rsid w:val="00D07A28"/>
    <w:rsid w:val="00D4014B"/>
    <w:rsid w:val="00D86727"/>
    <w:rsid w:val="00E5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BA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1">
    <w:name w:val="heading 1"/>
    <w:basedOn w:val="a"/>
    <w:link w:val="10"/>
    <w:uiPriority w:val="9"/>
    <w:qFormat/>
    <w:rsid w:val="00821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rsid w:val="006A00BA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4E64DB"/>
    <w:pPr>
      <w:spacing w:after="160" w:line="259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10">
    <w:name w:val="Заголовок 1 Знак"/>
    <w:basedOn w:val="a0"/>
    <w:link w:val="1"/>
    <w:uiPriority w:val="9"/>
    <w:rsid w:val="00821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21ADC"/>
    <w:rPr>
      <w:b/>
      <w:bCs/>
    </w:rPr>
  </w:style>
  <w:style w:type="paragraph" w:customStyle="1" w:styleId="default">
    <w:name w:val="default"/>
    <w:basedOn w:val="a"/>
    <w:rsid w:val="00821AD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ru-RU"/>
    </w:rPr>
  </w:style>
  <w:style w:type="character" w:styleId="a5">
    <w:name w:val="Emphasis"/>
    <w:basedOn w:val="a0"/>
    <w:uiPriority w:val="20"/>
    <w:qFormat/>
    <w:rsid w:val="00821ADC"/>
    <w:rPr>
      <w:i/>
      <w:iCs/>
    </w:rPr>
  </w:style>
  <w:style w:type="paragraph" w:styleId="a6">
    <w:name w:val="Normal (Web)"/>
    <w:basedOn w:val="a"/>
    <w:uiPriority w:val="99"/>
    <w:unhideWhenUsed/>
    <w:rsid w:val="00821AD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727"/>
    <w:rPr>
      <w:rFonts w:ascii="Segoe UI" w:eastAsia="ヒラギノ角ゴ Pro W3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BA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1">
    <w:name w:val="heading 1"/>
    <w:basedOn w:val="a"/>
    <w:link w:val="10"/>
    <w:uiPriority w:val="9"/>
    <w:qFormat/>
    <w:rsid w:val="00821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rsid w:val="006A00BA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4E64DB"/>
    <w:pPr>
      <w:spacing w:after="160" w:line="259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10">
    <w:name w:val="Заголовок 1 Знак"/>
    <w:basedOn w:val="a0"/>
    <w:link w:val="1"/>
    <w:uiPriority w:val="9"/>
    <w:rsid w:val="00821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21ADC"/>
    <w:rPr>
      <w:b/>
      <w:bCs/>
    </w:rPr>
  </w:style>
  <w:style w:type="paragraph" w:customStyle="1" w:styleId="default">
    <w:name w:val="default"/>
    <w:basedOn w:val="a"/>
    <w:rsid w:val="00821AD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ru-RU"/>
    </w:rPr>
  </w:style>
  <w:style w:type="character" w:styleId="a5">
    <w:name w:val="Emphasis"/>
    <w:basedOn w:val="a0"/>
    <w:uiPriority w:val="20"/>
    <w:qFormat/>
    <w:rsid w:val="00821ADC"/>
    <w:rPr>
      <w:i/>
      <w:iCs/>
    </w:rPr>
  </w:style>
  <w:style w:type="paragraph" w:styleId="a6">
    <w:name w:val="Normal (Web)"/>
    <w:basedOn w:val="a"/>
    <w:uiPriority w:val="99"/>
    <w:unhideWhenUsed/>
    <w:rsid w:val="00821AD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727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Славяне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 И.Г.</dc:creator>
  <cp:lastModifiedBy>Константин Васин</cp:lastModifiedBy>
  <cp:revision>5</cp:revision>
  <dcterms:created xsi:type="dcterms:W3CDTF">2018-08-23T09:26:00Z</dcterms:created>
  <dcterms:modified xsi:type="dcterms:W3CDTF">2018-08-23T09:46:00Z</dcterms:modified>
</cp:coreProperties>
</file>